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宋体" w:hAnsi="宋体" w:cs="宋体"/>
          <w:b/>
          <w:bCs/>
          <w:sz w:val="44"/>
          <w:szCs w:val="44"/>
        </w:rPr>
      </w:pPr>
      <w:bookmarkStart w:id="0" w:name="_GoBack"/>
      <w:bookmarkEnd w:id="0"/>
      <w:r>
        <w:rPr>
          <w:rFonts w:hint="eastAsia" w:ascii="宋体" w:hAnsi="宋体" w:cs="宋体"/>
          <w:b/>
          <w:bCs/>
          <w:sz w:val="44"/>
          <w:szCs w:val="44"/>
        </w:rPr>
        <w:t>第二部分　各系统肿瘤的药物临床</w:t>
      </w:r>
    </w:p>
    <w:p>
      <w:pPr>
        <w:spacing w:line="360" w:lineRule="auto"/>
        <w:ind w:firstLine="883" w:firstLineChars="200"/>
        <w:jc w:val="center"/>
        <w:rPr>
          <w:rFonts w:hint="eastAsia" w:ascii="宋体" w:hAnsi="宋体" w:cs="宋体"/>
          <w:b/>
          <w:bCs/>
          <w:sz w:val="44"/>
          <w:szCs w:val="44"/>
        </w:rPr>
      </w:pPr>
      <w:r>
        <w:rPr>
          <w:rFonts w:hint="eastAsia" w:ascii="宋体" w:hAnsi="宋体" w:cs="宋体"/>
          <w:b/>
          <w:bCs/>
          <w:sz w:val="44"/>
          <w:szCs w:val="44"/>
        </w:rPr>
        <w:t>应用指导原则</w:t>
      </w:r>
    </w:p>
    <w:p>
      <w:pPr>
        <w:spacing w:line="360" w:lineRule="auto"/>
        <w:ind w:firstLine="883" w:firstLineChars="200"/>
        <w:jc w:val="center"/>
        <w:rPr>
          <w:rFonts w:hint="eastAsia" w:ascii="宋体" w:hAnsi="宋体" w:cs="宋体"/>
          <w:b/>
          <w:bCs/>
          <w:sz w:val="44"/>
          <w:szCs w:val="44"/>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消化系统肿瘤用药</w:t>
      </w:r>
    </w:p>
    <w:p>
      <w:pPr>
        <w:widowControl/>
        <w:spacing w:line="360" w:lineRule="auto"/>
        <w:ind w:firstLine="643" w:firstLineChars="200"/>
        <w:jc w:val="left"/>
        <w:rPr>
          <w:rFonts w:ascii="仿宋" w:hAnsi="仿宋" w:eastAsia="仿宋" w:cs="Times New Roman"/>
          <w:b/>
          <w:bCs/>
          <w:sz w:val="32"/>
          <w:szCs w:val="32"/>
        </w:rPr>
      </w:pPr>
    </w:p>
    <w:p>
      <w:pPr>
        <w:spacing w:line="360" w:lineRule="auto"/>
        <w:ind w:firstLine="640" w:firstLineChars="200"/>
        <w:rPr>
          <w:rFonts w:ascii="黑体" w:hAnsi="黑体" w:eastAsia="黑体" w:cs="Times New Roman"/>
          <w:sz w:val="32"/>
          <w:szCs w:val="32"/>
          <w:lang w:val="it-IT"/>
        </w:rPr>
      </w:pPr>
      <w:r>
        <w:rPr>
          <w:rFonts w:hint="eastAsia" w:ascii="黑体" w:hAnsi="黑体" w:eastAsia="黑体" w:cs="黑体"/>
          <w:sz w:val="32"/>
          <w:szCs w:val="32"/>
          <w:lang w:val="it-IT"/>
        </w:rPr>
        <w:t>一、</w:t>
      </w:r>
      <w:r>
        <w:rPr>
          <w:rFonts w:hint="eastAsia" w:ascii="黑体" w:hAnsi="黑体" w:eastAsia="黑体" w:cs="黑体"/>
          <w:sz w:val="32"/>
          <w:szCs w:val="32"/>
        </w:rPr>
        <w:t>索拉非尼 S</w:t>
      </w:r>
      <w:r>
        <w:rPr>
          <w:rFonts w:ascii="黑体" w:hAnsi="黑体" w:eastAsia="黑体" w:cs="黑体"/>
          <w:sz w:val="32"/>
          <w:szCs w:val="32"/>
        </w:rPr>
        <w:t>orafenib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hint="eastAsia" w:ascii="仿宋" w:hAnsi="仿宋" w:eastAsia="仿宋"/>
          <w:color w:val="000000"/>
          <w:sz w:val="32"/>
          <w:szCs w:val="32"/>
        </w:rPr>
        <w:t>200mg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治疗无法手术或远处转移的肝细胞癌。</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用药期间最常见的不良反应有腹泻、乏力、脱发、感染、手足皮肤反应、皮疹。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推荐服用剂量为每次</w:t>
      </w:r>
      <w:r>
        <w:rPr>
          <w:rFonts w:ascii="仿宋" w:hAnsi="仿宋" w:eastAsia="仿宋" w:cs="仿宋"/>
          <w:sz w:val="32"/>
          <w:szCs w:val="32"/>
        </w:rPr>
        <w:t>0.4g</w:t>
      </w:r>
      <w:r>
        <w:rPr>
          <w:rFonts w:hint="eastAsia" w:ascii="仿宋" w:hAnsi="仿宋" w:eastAsia="仿宋" w:cs="仿宋"/>
          <w:sz w:val="32"/>
          <w:szCs w:val="32"/>
        </w:rPr>
        <w:t>，每日两次，空腹或伴低脂、中脂饮食服用，必须整片吞服，如果漏服或呕吐同一天内不得补服。对疑似不良反应的处理包括暂停或减少用量，如需减少剂量，索拉非尼的剂量减为每日一次，每次</w:t>
      </w:r>
      <w:r>
        <w:rPr>
          <w:rFonts w:ascii="仿宋" w:hAnsi="仿宋" w:eastAsia="仿宋" w:cs="仿宋"/>
          <w:sz w:val="32"/>
          <w:szCs w:val="32"/>
        </w:rPr>
        <w:t>0.4g</w:t>
      </w:r>
      <w:r>
        <w:rPr>
          <w:rFonts w:hint="eastAsia" w:ascii="仿宋" w:hAnsi="仿宋" w:eastAsia="仿宋" w:cs="仿宋"/>
          <w:sz w:val="32"/>
          <w:szCs w:val="32"/>
        </w:rPr>
        <w:t>，口服。</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与通过</w:t>
      </w:r>
      <w:r>
        <w:rPr>
          <w:rFonts w:ascii="仿宋" w:hAnsi="仿宋" w:eastAsia="仿宋" w:cs="仿宋"/>
          <w:sz w:val="32"/>
          <w:szCs w:val="32"/>
        </w:rPr>
        <w:t>UGT1A1</w:t>
      </w:r>
      <w:r>
        <w:rPr>
          <w:rFonts w:hint="eastAsia" w:ascii="仿宋" w:hAnsi="仿宋" w:eastAsia="仿宋" w:cs="仿宋"/>
          <w:sz w:val="32"/>
          <w:szCs w:val="32"/>
        </w:rPr>
        <w:t>途径代谢</w:t>
      </w:r>
      <w:r>
        <w:rPr>
          <w:rFonts w:ascii="仿宋" w:hAnsi="仿宋" w:eastAsia="仿宋" w:cs="仿宋"/>
          <w:sz w:val="32"/>
          <w:szCs w:val="32"/>
        </w:rPr>
        <w:t>/</w:t>
      </w:r>
      <w:r>
        <w:rPr>
          <w:rFonts w:hint="eastAsia" w:ascii="仿宋" w:hAnsi="仿宋" w:eastAsia="仿宋" w:cs="仿宋"/>
          <w:sz w:val="32"/>
          <w:szCs w:val="32"/>
        </w:rPr>
        <w:t>清除的药物（如伊立替康、多西他赛）联合应用时需谨慎。与华法林合用时应定期检测</w:t>
      </w:r>
      <w:r>
        <w:rPr>
          <w:rFonts w:ascii="仿宋" w:hAnsi="仿宋" w:eastAsia="仿宋" w:cs="仿宋"/>
          <w:sz w:val="32"/>
          <w:szCs w:val="32"/>
        </w:rPr>
        <w:t>INR</w:t>
      </w:r>
      <w:r>
        <w:rPr>
          <w:rFonts w:hint="eastAsia" w:ascii="仿宋" w:hAnsi="仿宋" w:eastAsia="仿宋" w:cs="仿宋"/>
          <w:sz w:val="32"/>
          <w:szCs w:val="32"/>
        </w:rPr>
        <w:t>值。</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目前缺乏在晚期肝细胞癌患者中索拉非尼与介入治疗如肝动脉栓塞化疗（</w:t>
      </w:r>
      <w:r>
        <w:rPr>
          <w:rFonts w:ascii="仿宋" w:hAnsi="仿宋" w:eastAsia="仿宋" w:cs="仿宋"/>
          <w:sz w:val="32"/>
          <w:szCs w:val="32"/>
        </w:rPr>
        <w:t>TACE</w:t>
      </w:r>
      <w:r>
        <w:rPr>
          <w:rFonts w:hint="eastAsia" w:ascii="仿宋" w:hAnsi="仿宋" w:eastAsia="仿宋" w:cs="仿宋"/>
          <w:sz w:val="32"/>
          <w:szCs w:val="32"/>
        </w:rPr>
        <w:t>）比较的随机对照临床研究数据，因此尚不能明确本品相对介入治疗的优劣，也不能明确对既往接受过介入治疗后患者使用索拉非尼是否有益。</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5.TACTICS</w:t>
      </w:r>
      <w:r>
        <w:rPr>
          <w:rFonts w:hint="eastAsia" w:ascii="仿宋" w:hAnsi="仿宋" w:eastAsia="仿宋" w:cs="仿宋"/>
          <w:sz w:val="32"/>
          <w:szCs w:val="32"/>
        </w:rPr>
        <w:t>研究（</w:t>
      </w:r>
      <w:r>
        <w:rPr>
          <w:rFonts w:ascii="仿宋" w:hAnsi="仿宋" w:eastAsia="仿宋" w:cs="仿宋"/>
          <w:sz w:val="32"/>
          <w:szCs w:val="32"/>
        </w:rPr>
        <w:t>NCT01217034</w:t>
      </w:r>
      <w:r>
        <w:rPr>
          <w:rFonts w:hint="eastAsia" w:ascii="仿宋" w:hAnsi="仿宋" w:eastAsia="仿宋" w:cs="仿宋"/>
          <w:sz w:val="32"/>
          <w:szCs w:val="32"/>
        </w:rPr>
        <w:t>）证实首次</w:t>
      </w:r>
      <w:r>
        <w:rPr>
          <w:rFonts w:ascii="仿宋" w:hAnsi="仿宋" w:eastAsia="仿宋" w:cs="仿宋"/>
          <w:sz w:val="32"/>
          <w:szCs w:val="32"/>
        </w:rPr>
        <w:t>TACE</w:t>
      </w:r>
      <w:r>
        <w:rPr>
          <w:rFonts w:hint="eastAsia" w:ascii="仿宋" w:hAnsi="仿宋" w:eastAsia="仿宋" w:cs="仿宋"/>
          <w:sz w:val="32"/>
          <w:szCs w:val="32"/>
        </w:rPr>
        <w:t>联合索拉非尼较索拉非尼组获益更佳。</w:t>
      </w:r>
    </w:p>
    <w:p>
      <w:pPr>
        <w:widowControl/>
        <w:spacing w:line="360" w:lineRule="auto"/>
        <w:ind w:firstLine="640" w:firstLineChars="200"/>
        <w:jc w:val="left"/>
        <w:rPr>
          <w:rFonts w:ascii="黑体" w:hAnsi="黑体" w:eastAsia="黑体" w:cs="Times New Roman"/>
          <w:sz w:val="32"/>
          <w:szCs w:val="32"/>
        </w:rPr>
      </w:pPr>
      <w:r>
        <w:rPr>
          <w:rFonts w:hint="eastAsia" w:ascii="黑体" w:hAnsi="黑体" w:eastAsia="黑体" w:cs="黑体"/>
          <w:sz w:val="32"/>
          <w:szCs w:val="32"/>
        </w:rPr>
        <w:t>二、瑞戈非尼 R</w:t>
      </w:r>
      <w:r>
        <w:rPr>
          <w:rFonts w:ascii="黑体" w:hAnsi="黑体" w:eastAsia="黑体" w:cs="黑体"/>
          <w:sz w:val="32"/>
          <w:szCs w:val="32"/>
        </w:rPr>
        <w:t>egorafenib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 xml:space="preserve">40mg </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既往接受过索拉非尼治疗的肝细胞癌患者。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既往接受过伊马替尼及舒尼替尼治疗</w:t>
      </w:r>
      <w:r>
        <w:rPr>
          <w:rFonts w:hint="eastAsia" w:ascii="仿宋" w:hAnsi="仿宋" w:eastAsia="仿宋" w:cs="仿宋"/>
          <w:w w:val="98"/>
          <w:sz w:val="32"/>
          <w:szCs w:val="32"/>
        </w:rPr>
        <w:t>的局部晚期的、无法手术切除的或转移性胃肠间质瘤患者。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既往接受过氟尿嘧啶、奥沙利铂和伊立替康为基础的化疗，以及既往接受过或不适合接受抗</w:t>
      </w:r>
      <w:r>
        <w:rPr>
          <w:rFonts w:ascii="仿宋" w:hAnsi="仿宋" w:eastAsia="仿宋" w:cs="仿宋"/>
          <w:sz w:val="32"/>
          <w:szCs w:val="32"/>
        </w:rPr>
        <w:t>VEGF</w:t>
      </w:r>
      <w:r>
        <w:rPr>
          <w:rFonts w:hint="eastAsia" w:ascii="仿宋" w:hAnsi="仿宋" w:eastAsia="仿宋" w:cs="仿宋"/>
          <w:sz w:val="32"/>
          <w:szCs w:val="32"/>
        </w:rPr>
        <w:t>治疗、抗</w:t>
      </w:r>
      <w:r>
        <w:rPr>
          <w:rFonts w:ascii="仿宋" w:hAnsi="仿宋" w:eastAsia="仿宋" w:cs="仿宋"/>
          <w:sz w:val="32"/>
          <w:szCs w:val="32"/>
        </w:rPr>
        <w:t>EGFR</w:t>
      </w:r>
      <w:r>
        <w:rPr>
          <w:rFonts w:hint="eastAsia" w:ascii="仿宋" w:hAnsi="仿宋" w:eastAsia="仿宋" w:cs="仿宋"/>
          <w:sz w:val="32"/>
          <w:szCs w:val="32"/>
        </w:rPr>
        <w:t>治疗（</w:t>
      </w:r>
      <w:r>
        <w:rPr>
          <w:rFonts w:ascii="仿宋" w:hAnsi="仿宋" w:eastAsia="仿宋" w:cs="仿宋"/>
          <w:sz w:val="32"/>
          <w:szCs w:val="32"/>
        </w:rPr>
        <w:t>RAS</w:t>
      </w:r>
      <w:r>
        <w:rPr>
          <w:rFonts w:hint="eastAsia" w:ascii="仿宋" w:hAnsi="仿宋" w:eastAsia="仿宋" w:cs="仿宋"/>
          <w:sz w:val="32"/>
          <w:szCs w:val="32"/>
        </w:rPr>
        <w:t>野生型）的转移性结直肠癌患者。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用药前无需进行基因检测。</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药品说明书推荐剂量为</w:t>
      </w:r>
      <w:r>
        <w:rPr>
          <w:rFonts w:ascii="仿宋" w:hAnsi="仿宋" w:eastAsia="仿宋" w:cs="仿宋"/>
          <w:sz w:val="32"/>
          <w:szCs w:val="32"/>
        </w:rPr>
        <w:t>160mg</w:t>
      </w:r>
      <w:r>
        <w:rPr>
          <w:rFonts w:hint="eastAsia" w:ascii="仿宋" w:hAnsi="仿宋" w:eastAsia="仿宋" w:cs="仿宋"/>
          <w:sz w:val="32"/>
          <w:szCs w:val="32"/>
        </w:rPr>
        <w:t>口服，每日一次，建议与食物同服，用药</w:t>
      </w:r>
      <w:r>
        <w:rPr>
          <w:rFonts w:ascii="仿宋" w:hAnsi="仿宋" w:eastAsia="仿宋" w:cs="仿宋"/>
          <w:sz w:val="32"/>
          <w:szCs w:val="32"/>
        </w:rPr>
        <w:t>3</w:t>
      </w:r>
      <w:r>
        <w:rPr>
          <w:rFonts w:hint="eastAsia" w:ascii="仿宋" w:hAnsi="仿宋" w:eastAsia="仿宋" w:cs="仿宋"/>
          <w:sz w:val="32"/>
          <w:szCs w:val="32"/>
        </w:rPr>
        <w:t>周停药</w:t>
      </w:r>
      <w:r>
        <w:rPr>
          <w:rFonts w:ascii="仿宋" w:hAnsi="仿宋" w:eastAsia="仿宋" w:cs="仿宋"/>
          <w:sz w:val="32"/>
          <w:szCs w:val="32"/>
        </w:rPr>
        <w:t>1</w:t>
      </w:r>
      <w:r>
        <w:rPr>
          <w:rFonts w:hint="eastAsia" w:ascii="仿宋" w:hAnsi="仿宋" w:eastAsia="仿宋" w:cs="仿宋"/>
          <w:sz w:val="32"/>
          <w:szCs w:val="32"/>
        </w:rPr>
        <w:t>周。基于个人的安全及耐受性考虑，可能需要中</w:t>
      </w:r>
      <w:r>
        <w:rPr>
          <w:rFonts w:hint="eastAsia" w:ascii="仿宋" w:hAnsi="仿宋" w:eastAsia="仿宋" w:cs="仿宋"/>
          <w:w w:val="97"/>
          <w:sz w:val="32"/>
          <w:szCs w:val="32"/>
        </w:rPr>
        <w:t>断或降低剂量，也可以考虑采用</w:t>
      </w:r>
      <w:r>
        <w:rPr>
          <w:rFonts w:ascii="仿宋" w:hAnsi="仿宋" w:eastAsia="仿宋" w:cs="仿宋"/>
          <w:w w:val="97"/>
          <w:sz w:val="32"/>
          <w:szCs w:val="32"/>
        </w:rPr>
        <w:t>80</w:t>
      </w:r>
      <w:r>
        <w:rPr>
          <w:rFonts w:hint="eastAsia" w:ascii="仿宋" w:hAnsi="仿宋" w:eastAsia="仿宋" w:cs="仿宋"/>
          <w:w w:val="97"/>
          <w:sz w:val="32"/>
          <w:szCs w:val="32"/>
        </w:rPr>
        <w:t>～</w:t>
      </w:r>
      <w:r>
        <w:rPr>
          <w:rFonts w:ascii="仿宋" w:hAnsi="仿宋" w:eastAsia="仿宋" w:cs="仿宋"/>
          <w:w w:val="97"/>
          <w:sz w:val="32"/>
          <w:szCs w:val="32"/>
        </w:rPr>
        <w:t>120mg</w:t>
      </w:r>
      <w:r>
        <w:rPr>
          <w:rFonts w:hint="eastAsia" w:ascii="仿宋" w:hAnsi="仿宋" w:eastAsia="仿宋" w:cs="仿宋"/>
          <w:w w:val="97"/>
          <w:sz w:val="32"/>
          <w:szCs w:val="32"/>
        </w:rPr>
        <w:t>起始剂量逐渐递增。</w:t>
      </w:r>
      <w:r>
        <w:rPr>
          <w:rFonts w:hint="eastAsia" w:ascii="仿宋" w:hAnsi="仿宋" w:eastAsia="仿宋" w:cs="仿宋"/>
          <w:sz w:val="32"/>
          <w:szCs w:val="32"/>
        </w:rPr>
        <w:t>必须整片吞服，如果漏服或呕吐同一天内不得补服。</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亚洲人群最常见不良反应为手足皮肤反应、肝功能异常（高胆红素血症、丙氨酸氨基转移酶升高、门冬氨酸氨基转移酶升高）和高血压</w:t>
      </w:r>
      <w:r>
        <w:rPr>
          <w:rFonts w:ascii="仿宋" w:hAnsi="仿宋" w:eastAsia="仿宋" w:cs="仿宋"/>
          <w:sz w:val="32"/>
          <w:szCs w:val="32"/>
        </w:rPr>
        <w:t>，</w:t>
      </w:r>
      <w:r>
        <w:rPr>
          <w:rFonts w:hint="eastAsia" w:ascii="仿宋" w:hAnsi="仿宋" w:eastAsia="仿宋" w:cs="仿宋"/>
          <w:sz w:val="32"/>
          <w:szCs w:val="32"/>
        </w:rPr>
        <w:t>同时</w:t>
      </w:r>
      <w:r>
        <w:rPr>
          <w:rFonts w:ascii="仿宋" w:hAnsi="仿宋" w:eastAsia="仿宋" w:cs="仿宋"/>
          <w:sz w:val="32"/>
          <w:szCs w:val="32"/>
        </w:rPr>
        <w:t>，</w:t>
      </w:r>
      <w:r>
        <w:rPr>
          <w:rFonts w:hint="eastAsia" w:ascii="仿宋" w:hAnsi="仿宋" w:eastAsia="仿宋" w:cs="仿宋"/>
          <w:sz w:val="32"/>
          <w:szCs w:val="32"/>
        </w:rPr>
        <w:t>还要注意疼痛、乏力、腹泻、食欲下降及进食减少等不良反应；最严重的不良反应为重度肝功能损伤、出血、胃肠道穿孔及感染；有血栓、栓塞病史者应谨慎使用。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对瑞戈非尼任一活性物质或辅料有超敏反应的患者禁用。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避免联用CYP3A4强效抑制剂和诱导剂，联用伊立替康可能增加UGT1A1和UGT1A9底物的全身暴露量。</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三、仑伐替尼 L</w:t>
      </w:r>
      <w:r>
        <w:rPr>
          <w:rFonts w:ascii="黑体" w:hAnsi="黑体" w:eastAsia="黑体"/>
          <w:color w:val="000000"/>
          <w:sz w:val="32"/>
          <w:szCs w:val="32"/>
        </w:rPr>
        <w:t>envatinib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胶囊：4mg、10mg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既往未接受过全身系统治疗的不可切除的肝细胞癌患者。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 xml:space="preserve">合理用药要点：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用药期间最常见的不良反应有高血压、疲乏、腹泻、食欲下降、体重降低、关节痛/肌痛、腹痛、掌跖红肿综合征、蛋白尿、出血事件、发音困难、甲状腺功能减退症、恶心，严重的不良反应包括肝衰竭、脑出血、呼吸衰竭。</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2.与甲状腺癌和肾癌不同，仑伐替尼在肝癌的药代动力学在临床上受到体重的显著影响：对于体重＜60kg的患者，推荐日剂量为8mg，每日一次；对于体重＞60kg的患者，推荐日剂量为12mg，每日一次。</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3.仑伐替尼应在每天固定时间服用，空腹或与食物同服均可。如果患者遗漏一次用药且无法在12小时内服用，无需补服，应按常规用药时间进行下一次服药。</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卡瑞利珠单抗</w:t>
      </w:r>
      <w:r>
        <w:rPr>
          <w:rFonts w:hint="eastAsia" w:ascii="黑体" w:hAnsi="黑体" w:eastAsia="黑体"/>
          <w:color w:val="000000"/>
          <w:sz w:val="32"/>
          <w:szCs w:val="32"/>
        </w:rPr>
        <w:t>Camrelizumab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粉针剂：200mg/瓶</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既往接受过一线化疗后疾病进展或不可耐受的局部晚期或转移性食管鳞癌患者治疗。</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既往接受过索拉非尼治疗和</w:t>
      </w:r>
      <w:r>
        <w:rPr>
          <w:rFonts w:ascii="仿宋" w:hAnsi="仿宋" w:eastAsia="仿宋"/>
          <w:color w:val="000000"/>
          <w:sz w:val="32"/>
          <w:szCs w:val="32"/>
        </w:rPr>
        <w:t>/或含奥沙利铂系统化疗的晚期肝细胞癌患者的治疗。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1.本品采用静脉输注的方式给药，静脉输注的推荐剂量为200mg，每2周或3周给药一次，直至疾病进展或出现不可接受的毒性。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s="仿宋"/>
          <w:sz w:val="32"/>
          <w:szCs w:val="32"/>
        </w:rPr>
        <w:t>只要观察到临床获益，应继续</w:t>
      </w:r>
      <w:r>
        <w:rPr>
          <w:rFonts w:hint="eastAsia" w:ascii="仿宋" w:hAnsi="仿宋" w:eastAsia="仿宋"/>
          <w:color w:val="000000"/>
          <w:sz w:val="32"/>
          <w:szCs w:val="32"/>
        </w:rPr>
        <w:t>卡瑞利珠单抗</w:t>
      </w:r>
      <w:r>
        <w:rPr>
          <w:rFonts w:hint="eastAsia" w:ascii="仿宋" w:hAnsi="仿宋" w:eastAsia="仿宋" w:cs="仿宋"/>
          <w:sz w:val="32"/>
          <w:szCs w:val="32"/>
        </w:rPr>
        <w:t>治疗，直至患者不能耐受，</w:t>
      </w:r>
      <w:r>
        <w:rPr>
          <w:rFonts w:hint="eastAsia" w:ascii="仿宋" w:hAnsi="仿宋" w:eastAsia="仿宋"/>
          <w:color w:val="000000"/>
          <w:sz w:val="32"/>
          <w:szCs w:val="32"/>
        </w:rPr>
        <w:t>有可能观察到非典型反应。如果患者临床症状稳定或持续减轻，</w:t>
      </w:r>
      <w:r>
        <w:rPr>
          <w:rFonts w:hint="eastAsia" w:ascii="仿宋" w:hAnsi="仿宋" w:eastAsia="仿宋" w:cs="仿宋"/>
          <w:sz w:val="32"/>
          <w:szCs w:val="32"/>
        </w:rPr>
        <w:t>即使考虑有疾病进展的可能，但</w:t>
      </w:r>
      <w:r>
        <w:rPr>
          <w:rFonts w:hint="eastAsia" w:ascii="仿宋" w:hAnsi="仿宋" w:eastAsia="仿宋"/>
          <w:color w:val="000000"/>
          <w:sz w:val="32"/>
          <w:szCs w:val="32"/>
        </w:rPr>
        <w:t>基于总体临床获益的判断，可考虑继续应用本品治疗，直至证实疾病进展。</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根据患者个体安全性和耐受性的程度不同，可暂停给药或停药，不建议剂量调整。</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发生</w:t>
      </w:r>
      <w:r>
        <w:rPr>
          <w:rFonts w:ascii="仿宋" w:hAnsi="仿宋" w:eastAsia="仿宋" w:cs="仿宋"/>
          <w:sz w:val="32"/>
          <w:szCs w:val="32"/>
        </w:rPr>
        <w:t>4</w:t>
      </w:r>
      <w:r>
        <w:rPr>
          <w:rFonts w:hint="eastAsia" w:ascii="仿宋" w:hAnsi="仿宋" w:eastAsia="仿宋" w:cs="仿宋"/>
          <w:sz w:val="32"/>
          <w:szCs w:val="32"/>
        </w:rPr>
        <w:t>级或复发性</w:t>
      </w:r>
      <w:r>
        <w:rPr>
          <w:rFonts w:ascii="仿宋" w:hAnsi="仿宋" w:eastAsia="仿宋" w:cs="仿宋"/>
          <w:sz w:val="32"/>
          <w:szCs w:val="32"/>
        </w:rPr>
        <w:t>3</w:t>
      </w:r>
      <w:r>
        <w:rPr>
          <w:rFonts w:hint="eastAsia" w:ascii="仿宋" w:hAnsi="仿宋" w:eastAsia="仿宋" w:cs="仿宋"/>
          <w:sz w:val="32"/>
          <w:szCs w:val="32"/>
        </w:rPr>
        <w:t>级不良反应，虽然进行治疗调整但仍持续存在</w:t>
      </w:r>
      <w:r>
        <w:rPr>
          <w:rFonts w:ascii="仿宋" w:hAnsi="仿宋" w:eastAsia="仿宋" w:cs="仿宋"/>
          <w:sz w:val="32"/>
          <w:szCs w:val="32"/>
        </w:rPr>
        <w:t>2</w:t>
      </w:r>
      <w:r>
        <w:rPr>
          <w:rFonts w:hint="eastAsia" w:ascii="仿宋" w:hAnsi="仿宋" w:eastAsia="仿宋" w:cs="仿宋"/>
          <w:sz w:val="32"/>
          <w:szCs w:val="32"/>
        </w:rPr>
        <w:t>级或</w:t>
      </w:r>
      <w:r>
        <w:rPr>
          <w:rFonts w:ascii="仿宋" w:hAnsi="仿宋" w:eastAsia="仿宋" w:cs="仿宋"/>
          <w:sz w:val="32"/>
          <w:szCs w:val="32"/>
        </w:rPr>
        <w:t>3</w:t>
      </w:r>
      <w:r>
        <w:rPr>
          <w:rFonts w:hint="eastAsia" w:ascii="仿宋" w:hAnsi="仿宋" w:eastAsia="仿宋" w:cs="仿宋"/>
          <w:sz w:val="32"/>
          <w:szCs w:val="32"/>
        </w:rPr>
        <w:t>级不良反应，应永久性停用</w:t>
      </w:r>
      <w:r>
        <w:rPr>
          <w:rFonts w:hint="eastAsia" w:ascii="仿宋" w:hAnsi="仿宋" w:eastAsia="仿宋"/>
          <w:color w:val="000000"/>
          <w:sz w:val="32"/>
          <w:szCs w:val="32"/>
        </w:rPr>
        <w:t>卡瑞利珠单抗</w:t>
      </w:r>
      <w:r>
        <w:rPr>
          <w:rFonts w:hint="eastAsia" w:ascii="仿宋" w:hAnsi="仿宋" w:eastAsia="仿宋" w:cs="仿宋"/>
          <w:sz w:val="32"/>
          <w:szCs w:val="32"/>
        </w:rPr>
        <w:t>。</w:t>
      </w:r>
    </w:p>
    <w:p>
      <w:pPr>
        <w:spacing w:line="360" w:lineRule="auto"/>
        <w:ind w:firstLine="640" w:firstLineChars="200"/>
        <w:rPr>
          <w:rFonts w:ascii="仿宋" w:hAnsi="仿宋" w:eastAsia="仿宋"/>
          <w:color w:val="000000"/>
          <w:sz w:val="32"/>
          <w:szCs w:val="32"/>
        </w:rPr>
      </w:pPr>
      <w:r>
        <w:rPr>
          <w:rFonts w:hint="eastAsia" w:ascii="仿宋" w:hAnsi="仿宋" w:eastAsia="仿宋" w:cs="仿宋"/>
          <w:sz w:val="32"/>
          <w:szCs w:val="32"/>
        </w:rPr>
        <w:t>5.</w:t>
      </w:r>
      <w:r>
        <w:rPr>
          <w:rFonts w:hint="eastAsia" w:ascii="仿宋" w:hAnsi="仿宋" w:eastAsia="仿宋"/>
          <w:color w:val="000000"/>
          <w:sz w:val="32"/>
          <w:szCs w:val="32"/>
        </w:rPr>
        <w:t>本品在≥65岁的老年患者中应用数据有限，建议在医师的指导下慎用，如需使用，无需进行剂量调整。不建议在妊娠期间使用本品治疗。目前本品尚无针对中重度肾功能损伤患者的研究数据，中重度肾功能损伤患者不推荐使用，轻度肾功能损伤患者应在医师指导下慎用本品，如需使用，无需进行剂量调整。目前本品尚无针对中重度肝功能损伤患者的研究数据，中重度肝功能损伤患者不推荐使用，轻度肝功能损伤患者无需进行剂量调整。</w:t>
      </w:r>
    </w:p>
    <w:p>
      <w:pPr>
        <w:spacing w:line="360" w:lineRule="auto"/>
        <w:ind w:firstLine="640" w:firstLineChars="200"/>
        <w:rPr>
          <w:rFonts w:ascii="仿宋" w:hAnsi="仿宋" w:eastAsia="仿宋"/>
          <w:color w:val="000000"/>
          <w:sz w:val="32"/>
          <w:szCs w:val="32"/>
        </w:rPr>
      </w:pPr>
      <w:r>
        <w:rPr>
          <w:rFonts w:ascii="仿宋" w:hAnsi="仿宋" w:eastAsia="仿宋" w:cs="仿宋"/>
          <w:sz w:val="32"/>
          <w:szCs w:val="32"/>
        </w:rPr>
        <w:t>6.</w:t>
      </w:r>
      <w:r>
        <w:rPr>
          <w:rFonts w:hint="eastAsia" w:ascii="仿宋" w:hAnsi="仿宋" w:eastAsia="仿宋"/>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如出现免疫相关性不良反应，根据个体患者的安全性和耐受性，可能需要暂停给药或永久停药。不建议增加或减少剂量。有关暂停给药和永久停药的指南，请参考本指导原则附表1免疫相关性不良反应及药物调整方案。</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反应性毛细血管增生症的处理：在接受本品治疗的患者中，70%～80%发生反应性毛细血管增生症。反应性毛细血管增生症，大多发生在体表皮肤，少数可见于口腔黏膜、鼻腔黏膜以及眼睑结膜。发生于皮肤的反应性毛细血管增生症，初始多表现为体表鲜红色点状物，直径≤2mm，随着用药次数增加，病变范围可逐渐增大，多为结节状，也有斑片状，颜色鲜红或暗红，需观察临床症状和体征，可按照附表2反应性毛细血管增生症分级标准和治疗建议进行处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当患者出现该不良反应时，应避免抓挠或摩擦，易摩擦部位可用纱布保护以避免出血，同时应联系主管医师，获得恰当的处理建议。破溃出血者可采用局部压迫止血，或采取如激光或手术切除等局部治疗；并发感染者应给予抗感染治疗。反应性毛细血管增生症可能在皮肤以外的其他组织发生（包括</w:t>
      </w:r>
      <w:r>
        <w:rPr>
          <w:rFonts w:hint="eastAsia" w:ascii="仿宋" w:hAnsi="仿宋" w:eastAsia="仿宋" w:cs="仿宋"/>
          <w:sz w:val="32"/>
          <w:szCs w:val="32"/>
        </w:rPr>
        <w:t>睑结膜、内外眦、口腔黏膜、咽喉等黏膜或其他脏器</w:t>
      </w:r>
      <w:r>
        <w:rPr>
          <w:rFonts w:ascii="仿宋" w:hAnsi="仿宋" w:eastAsia="仿宋" w:cs="仿宋"/>
          <w:sz w:val="32"/>
          <w:szCs w:val="32"/>
        </w:rPr>
        <w:t>），</w:t>
      </w:r>
      <w:r>
        <w:rPr>
          <w:rFonts w:hint="eastAsia" w:ascii="仿宋" w:hAnsi="仿宋" w:eastAsia="仿宋" w:cs="仿宋"/>
          <w:sz w:val="32"/>
          <w:szCs w:val="32"/>
        </w:rPr>
        <w:t>应根据自查症状和体征，</w:t>
      </w:r>
      <w:r>
        <w:rPr>
          <w:rFonts w:ascii="仿宋" w:hAnsi="仿宋" w:eastAsia="仿宋" w:cs="仿宋"/>
          <w:sz w:val="32"/>
          <w:szCs w:val="32"/>
        </w:rPr>
        <w:t>必要时进行相应的医学检查，如大便潜血、内窥镜及影像学检查（具体相关内容详见《反应性毛细血管增生症信息收集及风险管理计划》）。</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9.卡瑞利珠单抗是一种人单克隆抗体，因单克隆抗体不经CYP450或其他药物代谢酶代谢，因此，合并使用的药物对这些酶的抑制或诱导作用预期不会影响卡瑞利珠单抗的药代动力学性质。</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五、帕博利珠单抗 P</w:t>
      </w:r>
      <w:r>
        <w:rPr>
          <w:rFonts w:ascii="黑体" w:hAnsi="黑体" w:eastAsia="黑体"/>
          <w:color w:val="000000"/>
          <w:sz w:val="32"/>
          <w:szCs w:val="32"/>
        </w:rPr>
        <w:t>embrolizumab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 xml:space="preserve">注射液：100mg（4ml）/瓶 </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highlight w:val="yellow"/>
        </w:rPr>
        <w:t>由国家药品监督管理局批准的检测评估为PD-L1综合阳性评分（</w:t>
      </w:r>
      <w:r>
        <w:rPr>
          <w:rFonts w:ascii="仿宋" w:hAnsi="仿宋" w:eastAsia="仿宋"/>
          <w:color w:val="000000"/>
          <w:sz w:val="32"/>
          <w:szCs w:val="32"/>
          <w:highlight w:val="yellow"/>
        </w:rPr>
        <w:t>C</w:t>
      </w:r>
      <w:r>
        <w:rPr>
          <w:rFonts w:hint="eastAsia" w:ascii="仿宋" w:hAnsi="仿宋" w:eastAsia="仿宋"/>
          <w:color w:val="000000"/>
          <w:sz w:val="32"/>
          <w:szCs w:val="32"/>
          <w:highlight w:val="yellow"/>
        </w:rPr>
        <w:t>PS）≥10、既往一线全身治疗失败的局部晚期或转移性食管鳞状细胞癌</w:t>
      </w:r>
      <w:r>
        <w:rPr>
          <w:rFonts w:ascii="仿宋" w:hAnsi="仿宋" w:eastAsia="仿宋"/>
          <w:color w:val="000000"/>
          <w:sz w:val="32"/>
          <w:szCs w:val="32"/>
        </w:rPr>
        <w:t>。</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.帕博利珠单抗基于KEYNOTE-181研究结果，</w:t>
      </w:r>
      <w:r>
        <w:rPr>
          <w:rFonts w:hint="eastAsia" w:ascii="仿宋" w:hAnsi="仿宋" w:eastAsia="仿宋" w:cs="仿宋"/>
          <w:sz w:val="32"/>
          <w:szCs w:val="32"/>
        </w:rPr>
        <w:t>获批的剂量</w:t>
      </w:r>
      <w:r>
        <w:rPr>
          <w:rFonts w:hint="eastAsia" w:ascii="仿宋" w:hAnsi="仿宋" w:eastAsia="仿宋"/>
          <w:color w:val="000000"/>
          <w:sz w:val="32"/>
          <w:szCs w:val="32"/>
        </w:rPr>
        <w:t>是200mg固定剂量，通过静脉注射给药，每3周一次，每次持续至少30分钟。</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hint="eastAsia" w:ascii="仿宋" w:hAnsi="仿宋" w:eastAsia="仿宋" w:cs="仿宋"/>
          <w:sz w:val="32"/>
          <w:szCs w:val="32"/>
        </w:rPr>
        <w:t>只要观察到临床获益，应继续</w:t>
      </w:r>
      <w:r>
        <w:rPr>
          <w:rFonts w:hint="eastAsia" w:ascii="仿宋" w:hAnsi="仿宋" w:eastAsia="仿宋"/>
          <w:color w:val="000000"/>
          <w:sz w:val="32"/>
          <w:szCs w:val="32"/>
        </w:rPr>
        <w:t>帕博利珠单抗</w:t>
      </w:r>
      <w:r>
        <w:rPr>
          <w:rFonts w:hint="eastAsia" w:ascii="仿宋" w:hAnsi="仿宋" w:eastAsia="仿宋" w:cs="仿宋"/>
          <w:sz w:val="32"/>
          <w:szCs w:val="32"/>
        </w:rPr>
        <w:t>治疗，直至患者不能耐受，</w:t>
      </w:r>
      <w:r>
        <w:rPr>
          <w:rFonts w:hint="eastAsia" w:ascii="仿宋" w:hAnsi="仿宋" w:eastAsia="仿宋"/>
          <w:color w:val="000000"/>
          <w:sz w:val="32"/>
          <w:szCs w:val="32"/>
        </w:rPr>
        <w:t>有可能观察到非典型反应。如果患者临床症状稳定，</w:t>
      </w:r>
      <w:r>
        <w:rPr>
          <w:rFonts w:hint="eastAsia" w:ascii="仿宋" w:hAnsi="仿宋" w:eastAsia="仿宋" w:cs="仿宋"/>
          <w:sz w:val="32"/>
          <w:szCs w:val="32"/>
        </w:rPr>
        <w:t>即使考虑有疾病进展的可能，但</w:t>
      </w:r>
      <w:r>
        <w:rPr>
          <w:rFonts w:hint="eastAsia" w:ascii="仿宋" w:hAnsi="仿宋" w:eastAsia="仿宋"/>
          <w:color w:val="000000"/>
          <w:sz w:val="32"/>
          <w:szCs w:val="32"/>
        </w:rPr>
        <w:t>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.根据个体患者的安全性和耐受性，可能需要暂停给药或停药，不建议增加或减少剂量。</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.发生4级或复发性3级不良反应，虽然进行治疗调整但仍持续存在2级或3级不良反应，应永久性停用帕博利珠单抗。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5.老年患者（≥65岁）无需调整剂量。轻中度肾功能损伤患者无需调整剂量，重度肾功能损伤患者的数据有限。轻度肝功能损伤患者无需调整剂量，尚未在中重度肝功能损伤患者中进行本品的相关研究。</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在使用本品之前应避免使用全身性糖皮质激素或其他免疫抑制剂，因为这些药物可能会影响本品的药效学活性及疗效。但在本品开始给药后，可使用全身性糖皮质激素或其他免疫抑制剂治疗免疫介导性不良反应。在患者接受免疫抑制剂量的糖皮质激素或其他免疫抑制剂治疗期间，不可重新使用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7.帕博利珠单抗可引起免疫相关性不良反应。因为不良反应可能在帕博利珠单抗治疗期间或帕博利珠单抗治疗停止后的任何时间发生，应持续进行患者监测（至少至末次给药后5个月）。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对于疑似免疫相关性不良反应，应进行充分的评估以确认病因或排除其他病因。根据不良反应的严重程度，应暂时停用帕博利珠单抗，并应用糖皮质激素治疗。当免疫相关的不良反应改善至≤1级时，需逐步减量至停药。基于有限的临床研究数据，发生糖皮质激素无法控制的免疫相关性不良反应时可以考虑使用其他全身性免疫抑制剂。如果不良反应保持在≤1级，且糖皮质激素剂量已降至每天≤10mg泼尼松或等效剂量，则可在最后一次帕博利珠单抗给药后12周内重新开始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9.如果出现任何重度、复发的免疫相关性不良反应以及任何危及生命的免疫相关性不良反应，必须永久停止帕博利珠单抗治疗。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10.帕博利珠单抗是一种人单克隆抗体，因单克隆抗体不经CYP450或其他药物代谢酶代谢，因此，合并使用的药物对这些酶的抑制或诱导作用预期不会影响帕博利珠单抗的药代动力学性质。</w:t>
      </w:r>
    </w:p>
    <w:p>
      <w:pPr>
        <w:spacing w:line="360" w:lineRule="auto"/>
        <w:ind w:firstLine="640" w:firstLineChars="200"/>
        <w:jc w:val="left"/>
        <w:rPr>
          <w:rFonts w:ascii="黑体" w:hAnsi="黑体" w:eastAsia="黑体" w:cs="Times New Roman"/>
          <w:sz w:val="32"/>
          <w:szCs w:val="32"/>
        </w:rPr>
      </w:pPr>
      <w:r>
        <w:rPr>
          <w:rFonts w:hint="eastAsia" w:ascii="黑体" w:hAnsi="黑体" w:eastAsia="黑体" w:cs="黑体"/>
          <w:sz w:val="32"/>
          <w:szCs w:val="32"/>
        </w:rPr>
        <w:t>六、曲妥珠单抗 T</w:t>
      </w:r>
      <w:r>
        <w:rPr>
          <w:rFonts w:ascii="黑体" w:hAnsi="黑体" w:eastAsia="黑体" w:cs="黑体"/>
          <w:sz w:val="32"/>
          <w:szCs w:val="32"/>
        </w:rPr>
        <w:t>rastuzumab</w:t>
      </w:r>
    </w:p>
    <w:p>
      <w:pPr>
        <w:spacing w:line="360" w:lineRule="auto"/>
        <w:ind w:firstLine="643" w:firstLineChars="200"/>
        <w:jc w:val="left"/>
        <w:rPr>
          <w:rFonts w:ascii="仿宋" w:hAnsi="仿宋" w:eastAsia="仿宋" w:cs="Times New Roman"/>
          <w:kern w:val="0"/>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注射剂：</w:t>
      </w:r>
      <w:r>
        <w:rPr>
          <w:rFonts w:ascii="仿宋" w:hAnsi="仿宋" w:eastAsia="仿宋" w:cs="仿宋"/>
          <w:sz w:val="32"/>
          <w:szCs w:val="32"/>
        </w:rPr>
        <w:t>440mg</w:t>
      </w:r>
      <w:r>
        <w:rPr>
          <w:rFonts w:hint="eastAsia" w:ascii="仿宋" w:hAnsi="仿宋" w:eastAsia="仿宋" w:cs="仿宋"/>
          <w:sz w:val="32"/>
          <w:szCs w:val="32"/>
        </w:rPr>
        <w:t>（</w:t>
      </w:r>
      <w:r>
        <w:rPr>
          <w:rFonts w:ascii="仿宋" w:hAnsi="仿宋" w:eastAsia="仿宋" w:cs="仿宋"/>
          <w:sz w:val="32"/>
          <w:szCs w:val="32"/>
        </w:rPr>
        <w:t>20ml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本品联合卡培他滨或</w:t>
      </w:r>
      <w:r>
        <w:rPr>
          <w:rFonts w:ascii="仿宋" w:hAnsi="仿宋" w:eastAsia="仿宋" w:cs="仿宋"/>
          <w:sz w:val="32"/>
          <w:szCs w:val="32"/>
        </w:rPr>
        <w:t>氟尿嘧啶</w:t>
      </w:r>
      <w:r>
        <w:rPr>
          <w:rFonts w:hint="eastAsia" w:ascii="仿宋" w:hAnsi="仿宋" w:eastAsia="仿宋" w:cs="仿宋"/>
          <w:sz w:val="32"/>
          <w:szCs w:val="32"/>
        </w:rPr>
        <w:t>和顺铂适用于既往未接受过针对转移性疾病治疗的</w:t>
      </w:r>
      <w:r>
        <w:rPr>
          <w:rFonts w:ascii="仿宋" w:hAnsi="仿宋" w:eastAsia="仿宋" w:cs="仿宋"/>
          <w:sz w:val="32"/>
          <w:szCs w:val="32"/>
        </w:rPr>
        <w:t>HER2</w:t>
      </w:r>
      <w:r>
        <w:rPr>
          <w:rFonts w:hint="eastAsia" w:ascii="仿宋" w:hAnsi="仿宋" w:eastAsia="仿宋" w:cs="仿宋"/>
          <w:sz w:val="32"/>
          <w:szCs w:val="32"/>
        </w:rPr>
        <w:t>阳性的转移性胃腺癌或胃食管交界腺癌患者，对于顺铂和氟尿嘧啶类进展，而未使用过曲妥珠单抗的</w:t>
      </w:r>
      <w:r>
        <w:rPr>
          <w:rFonts w:ascii="仿宋" w:hAnsi="仿宋" w:eastAsia="仿宋" w:cs="仿宋"/>
          <w:sz w:val="32"/>
          <w:szCs w:val="32"/>
        </w:rPr>
        <w:t>HER2</w:t>
      </w:r>
      <w:r>
        <w:rPr>
          <w:rFonts w:hint="eastAsia" w:ascii="仿宋" w:hAnsi="仿宋" w:eastAsia="仿宋" w:cs="仿宋"/>
          <w:sz w:val="32"/>
          <w:szCs w:val="32"/>
        </w:rPr>
        <w:t>阳性的转移性胃癌患者，可以考虑曲妥珠单抗联合其他有效的化疗药物治疗；</w:t>
      </w:r>
      <w:r>
        <w:rPr>
          <w:rFonts w:hint="eastAsia" w:ascii="仿宋" w:hAnsi="仿宋" w:eastAsia="仿宋" w:cs="仿宋"/>
          <w:sz w:val="32"/>
          <w:szCs w:val="32"/>
          <w:highlight w:val="yellow"/>
        </w:rPr>
        <w:t>曲妥珠单抗只能用于</w:t>
      </w:r>
      <w:r>
        <w:rPr>
          <w:rFonts w:ascii="仿宋" w:hAnsi="仿宋" w:eastAsia="仿宋" w:cs="仿宋"/>
          <w:sz w:val="32"/>
          <w:szCs w:val="32"/>
          <w:highlight w:val="yellow"/>
        </w:rPr>
        <w:t>HER2</w:t>
      </w:r>
      <w:r>
        <w:rPr>
          <w:rFonts w:hint="eastAsia" w:ascii="仿宋" w:hAnsi="仿宋" w:eastAsia="仿宋" w:cs="仿宋"/>
          <w:sz w:val="32"/>
          <w:szCs w:val="32"/>
          <w:highlight w:val="yellow"/>
        </w:rPr>
        <w:t>阳性的转移性胃癌患者，</w:t>
      </w:r>
      <w:r>
        <w:rPr>
          <w:rFonts w:ascii="仿宋" w:hAnsi="仿宋" w:eastAsia="仿宋" w:cs="仿宋"/>
          <w:sz w:val="32"/>
          <w:szCs w:val="32"/>
          <w:highlight w:val="yellow"/>
        </w:rPr>
        <w:t>HER2</w:t>
      </w:r>
      <w:r>
        <w:rPr>
          <w:rFonts w:hint="eastAsia" w:ascii="仿宋" w:hAnsi="仿宋" w:eastAsia="仿宋" w:cs="仿宋"/>
          <w:sz w:val="32"/>
          <w:szCs w:val="32"/>
          <w:highlight w:val="yellow"/>
        </w:rPr>
        <w:t>阳性的定义为使用已验证的检测方法得到的</w:t>
      </w:r>
      <w:r>
        <w:rPr>
          <w:rFonts w:ascii="仿宋" w:hAnsi="仿宋" w:eastAsia="仿宋" w:cs="仿宋"/>
          <w:sz w:val="32"/>
          <w:szCs w:val="32"/>
          <w:highlight w:val="yellow"/>
        </w:rPr>
        <w:t>IHC3+</w:t>
      </w:r>
      <w:r>
        <w:rPr>
          <w:rFonts w:hint="eastAsia" w:ascii="仿宋" w:hAnsi="仿宋" w:eastAsia="仿宋" w:cs="仿宋"/>
          <w:sz w:val="32"/>
          <w:szCs w:val="32"/>
          <w:highlight w:val="yellow"/>
        </w:rPr>
        <w:t>或</w:t>
      </w:r>
      <w:r>
        <w:rPr>
          <w:rFonts w:ascii="仿宋" w:hAnsi="仿宋" w:eastAsia="仿宋" w:cs="仿宋"/>
          <w:sz w:val="32"/>
          <w:szCs w:val="32"/>
          <w:highlight w:val="yellow"/>
        </w:rPr>
        <w:t>IHC2+/FISH+</w:t>
      </w:r>
      <w:r>
        <w:rPr>
          <w:rFonts w:hint="eastAsia" w:ascii="仿宋" w:hAnsi="仿宋" w:eastAsia="仿宋" w:cs="仿宋"/>
          <w:sz w:val="32"/>
          <w:szCs w:val="32"/>
          <w:highlight w:val="yellow"/>
        </w:rPr>
        <w:t>结果</w:t>
      </w:r>
      <w:r>
        <w:rPr>
          <w:rFonts w:hint="eastAsia" w:ascii="仿宋" w:hAnsi="仿宋" w:eastAsia="仿宋" w:cs="仿宋"/>
          <w:sz w:val="32"/>
          <w:szCs w:val="32"/>
        </w:rPr>
        <w:t>。</w:t>
      </w:r>
    </w:p>
    <w:p>
      <w:pPr>
        <w:spacing w:line="360" w:lineRule="auto"/>
        <w:ind w:firstLine="643" w:firstLineChars="200"/>
        <w:jc w:val="left"/>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highlight w:val="yellow"/>
        </w:rPr>
        <w:t>在本品治疗前，应进行</w:t>
      </w:r>
      <w:r>
        <w:rPr>
          <w:rFonts w:ascii="仿宋" w:hAnsi="仿宋" w:eastAsia="仿宋" w:cs="仿宋"/>
          <w:sz w:val="32"/>
          <w:szCs w:val="32"/>
          <w:highlight w:val="yellow"/>
        </w:rPr>
        <w:t>HER2</w:t>
      </w:r>
      <w:r>
        <w:rPr>
          <w:rFonts w:hint="eastAsia" w:ascii="仿宋" w:hAnsi="仿宋" w:eastAsia="仿宋" w:cs="仿宋"/>
          <w:sz w:val="32"/>
          <w:szCs w:val="32"/>
          <w:highlight w:val="yellow"/>
        </w:rPr>
        <w:t>检测，相关检测应使用国家药品监督管理局批准的检测方法</w:t>
      </w:r>
      <w:r>
        <w:rPr>
          <w:rFonts w:hint="eastAsia" w:ascii="仿宋" w:hAnsi="仿宋" w:eastAsia="仿宋" w:cs="仿宋"/>
          <w:sz w:val="32"/>
          <w:szCs w:val="32"/>
        </w:rPr>
        <w:t>。</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曲妥珠单抗开始治疗前应进行左室射血分数（</w:t>
      </w:r>
      <w:r>
        <w:rPr>
          <w:rFonts w:ascii="仿宋" w:hAnsi="仿宋" w:eastAsia="仿宋" w:cs="仿宋"/>
          <w:sz w:val="32"/>
          <w:szCs w:val="32"/>
        </w:rPr>
        <w:t>LVEF</w:t>
      </w:r>
      <w:r>
        <w:rPr>
          <w:rFonts w:hint="eastAsia" w:ascii="仿宋" w:hAnsi="仿宋" w:eastAsia="仿宋" w:cs="仿宋"/>
          <w:sz w:val="32"/>
          <w:szCs w:val="32"/>
        </w:rPr>
        <w:t>）的检测，治疗期间须经常密切监测</w:t>
      </w:r>
      <w:r>
        <w:rPr>
          <w:rFonts w:ascii="仿宋" w:hAnsi="仿宋" w:eastAsia="仿宋" w:cs="仿宋"/>
          <w:sz w:val="32"/>
          <w:szCs w:val="32"/>
        </w:rPr>
        <w:t>LVEF</w:t>
      </w:r>
      <w:r>
        <w:rPr>
          <w:rFonts w:hint="eastAsia" w:ascii="仿宋" w:hAnsi="仿宋" w:eastAsia="仿宋" w:cs="仿宋"/>
          <w:sz w:val="32"/>
          <w:szCs w:val="32"/>
        </w:rPr>
        <w:t>。LVEF较治疗前绝对数值下降≥16%，或LVEF低于该检测中心正常范围并且LVEF 较治疗前绝对数值下降≥10%，需应停止曲妥珠单抗治疗至少4周，并每4周检测1次LVEF。4～8周内LVEF回升至正常范围或LVEF较治疗前绝对数值下降≤15%，可恢复使用曲妥珠单抗。LVEF持续下降（＞8 周），或者3次以上因心脏毒性而停止曲妥珠单抗治疗，应永久停止使用曲妥珠单抗。</w:t>
      </w:r>
    </w:p>
    <w:p>
      <w:pPr>
        <w:spacing w:line="360" w:lineRule="auto"/>
        <w:ind w:firstLine="640" w:firstLineChars="200"/>
        <w:jc w:val="left"/>
        <w:rPr>
          <w:rFonts w:ascii="仿宋" w:hAnsi="仿宋" w:eastAsia="仿宋" w:cs="Times New Roman"/>
          <w:sz w:val="32"/>
          <w:szCs w:val="32"/>
          <w:lang w:val="en-GB"/>
        </w:rPr>
      </w:pPr>
      <w:r>
        <w:rPr>
          <w:rFonts w:ascii="仿宋" w:hAnsi="仿宋" w:eastAsia="仿宋" w:cs="仿宋"/>
          <w:sz w:val="32"/>
          <w:szCs w:val="32"/>
        </w:rPr>
        <w:t>3.</w:t>
      </w:r>
      <w:r>
        <w:rPr>
          <w:rFonts w:hint="eastAsia" w:ascii="仿宋" w:hAnsi="仿宋" w:eastAsia="仿宋" w:cs="仿宋"/>
          <w:sz w:val="32"/>
          <w:szCs w:val="32"/>
        </w:rPr>
        <w:t>胃癌治疗过程中患者出现充血性心力衰竭、左心室功能明显下降、严重的输注反应和肺部反应时，要中断或停止曲妥珠单抗的治疗。</w:t>
      </w:r>
    </w:p>
    <w:p>
      <w:pPr>
        <w:widowControl/>
        <w:jc w:val="left"/>
        <w:rPr>
          <w:rFonts w:ascii="黑体" w:hAnsi="黑体" w:eastAsia="黑体" w:cs="黑体"/>
          <w:sz w:val="32"/>
          <w:szCs w:val="32"/>
        </w:rPr>
      </w:pPr>
      <w:r>
        <w:rPr>
          <w:rFonts w:hint="eastAsia" w:ascii="黑体" w:hAnsi="黑体" w:eastAsia="黑体" w:cs="黑体"/>
          <w:sz w:val="32"/>
          <w:szCs w:val="32"/>
        </w:rPr>
        <w:t xml:space="preserve">    七、阿帕替尼 A</w:t>
      </w:r>
      <w:r>
        <w:rPr>
          <w:rFonts w:ascii="黑体" w:hAnsi="黑体" w:eastAsia="黑体" w:cs="黑体"/>
          <w:sz w:val="32"/>
          <w:szCs w:val="32"/>
        </w:rPr>
        <w:t>patinib</w:t>
      </w:r>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0.25g</w:t>
      </w:r>
      <w:r>
        <w:rPr>
          <w:rFonts w:hint="eastAsia" w:ascii="仿宋" w:hAnsi="仿宋" w:eastAsia="仿宋" w:cs="仿宋"/>
          <w:sz w:val="32"/>
          <w:szCs w:val="32"/>
        </w:rPr>
        <w:t>、</w:t>
      </w:r>
      <w:r>
        <w:rPr>
          <w:rFonts w:ascii="仿宋" w:hAnsi="仿宋" w:eastAsia="仿宋" w:cs="仿宋"/>
          <w:sz w:val="32"/>
          <w:szCs w:val="32"/>
        </w:rPr>
        <w:t>0.375g</w:t>
      </w:r>
      <w:r>
        <w:rPr>
          <w:rFonts w:hint="eastAsia" w:ascii="仿宋" w:hAnsi="仿宋" w:eastAsia="仿宋" w:cs="仿宋"/>
          <w:sz w:val="32"/>
          <w:szCs w:val="32"/>
        </w:rPr>
        <w:t>、</w:t>
      </w:r>
      <w:r>
        <w:rPr>
          <w:rFonts w:ascii="仿宋" w:hAnsi="仿宋" w:eastAsia="仿宋" w:cs="仿宋"/>
          <w:sz w:val="32"/>
          <w:szCs w:val="32"/>
        </w:rPr>
        <w:t xml:space="preserve">0.425g </w:t>
      </w:r>
    </w:p>
    <w:p>
      <w:pPr>
        <w:spacing w:line="360" w:lineRule="auto"/>
        <w:ind w:firstLine="643" w:firstLineChars="200"/>
        <w:jc w:val="left"/>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既往至少接受过</w:t>
      </w:r>
      <w:r>
        <w:rPr>
          <w:rFonts w:ascii="仿宋" w:hAnsi="仿宋" w:eastAsia="仿宋" w:cs="仿宋"/>
          <w:sz w:val="32"/>
          <w:szCs w:val="32"/>
        </w:rPr>
        <w:t>2</w:t>
      </w:r>
      <w:r>
        <w:rPr>
          <w:rFonts w:hint="eastAsia" w:ascii="仿宋" w:hAnsi="仿宋" w:eastAsia="仿宋" w:cs="仿宋"/>
          <w:sz w:val="32"/>
          <w:szCs w:val="32"/>
        </w:rPr>
        <w:t>种系统化疗后进展或复发的晚期胃腺癌或胃食管结合部腺癌患者，且患者接受阿帕替尼治疗时一般状况良好。</w:t>
      </w:r>
    </w:p>
    <w:p>
      <w:pPr>
        <w:spacing w:line="360" w:lineRule="auto"/>
        <w:ind w:firstLine="643" w:firstLineChars="200"/>
        <w:jc w:val="left"/>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药品说明书推荐剂量为</w:t>
      </w:r>
      <w:r>
        <w:rPr>
          <w:rFonts w:ascii="仿宋" w:hAnsi="仿宋" w:eastAsia="仿宋" w:cs="仿宋"/>
          <w:sz w:val="32"/>
          <w:szCs w:val="32"/>
        </w:rPr>
        <w:t>850mg</w:t>
      </w:r>
      <w:r>
        <w:rPr>
          <w:rFonts w:hint="eastAsia" w:ascii="仿宋" w:hAnsi="仿宋" w:eastAsia="仿宋" w:cs="仿宋"/>
          <w:sz w:val="32"/>
          <w:szCs w:val="32"/>
        </w:rPr>
        <w:t>，每日一次。对于体力状态评分</w:t>
      </w:r>
      <w:r>
        <w:rPr>
          <w:rFonts w:ascii="仿宋" w:hAnsi="仿宋" w:eastAsia="仿宋" w:cs="仿宋"/>
          <w:sz w:val="32"/>
          <w:szCs w:val="32"/>
        </w:rPr>
        <w:t>ECOG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、四线化疗以后、胃部原发癌灶没有切除、骨髓功能储备差、年老体弱或瘦小的女性患者，为了确保患者的安全性和提高依从性，可以适当降低起始剂量，先从250</w:t>
      </w:r>
      <w:r>
        <w:rPr>
          <w:rFonts w:ascii="仿宋" w:hAnsi="仿宋" w:eastAsia="仿宋" w:cs="仿宋"/>
          <w:sz w:val="32"/>
          <w:szCs w:val="32"/>
        </w:rPr>
        <w:t>mg</w:t>
      </w:r>
      <w:r>
        <w:rPr>
          <w:rFonts w:hint="eastAsia" w:ascii="仿宋" w:hAnsi="仿宋" w:eastAsia="仿宋" w:cs="仿宋"/>
          <w:sz w:val="32"/>
          <w:szCs w:val="32"/>
        </w:rPr>
        <w:t>开始服药，服用</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周后再酌情增加剂量。</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使用过程中出现</w:t>
      </w: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级不良反应时，建议暂停用药，</w:t>
      </w:r>
      <w:r>
        <w:rPr>
          <w:rFonts w:hint="eastAsia" w:ascii="仿宋" w:hAnsi="仿宋" w:eastAsia="仿宋" w:cs="仿宋"/>
          <w:w w:val="98"/>
          <w:sz w:val="32"/>
          <w:szCs w:val="32"/>
        </w:rPr>
        <w:t>并对症处理，待症状缓解恢复到</w:t>
      </w:r>
      <w:r>
        <w:rPr>
          <w:rFonts w:ascii="仿宋" w:hAnsi="仿宋" w:eastAsia="仿宋" w:cs="仿宋"/>
          <w:w w:val="98"/>
          <w:sz w:val="32"/>
          <w:szCs w:val="32"/>
        </w:rPr>
        <w:t>1</w:t>
      </w:r>
      <w:r>
        <w:rPr>
          <w:rFonts w:hint="eastAsia" w:ascii="仿宋" w:hAnsi="仿宋" w:eastAsia="仿宋" w:cs="仿宋"/>
          <w:w w:val="98"/>
          <w:sz w:val="32"/>
          <w:szCs w:val="32"/>
        </w:rPr>
        <w:t>级以内，随后降低剂量服用。</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用药期间必须特别关注血压升高、蛋白尿、手足皮肤反应、出血、心脏毒性、肝脏毒性等不良反应。</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慎与延长</w:t>
      </w:r>
      <w:r>
        <w:rPr>
          <w:rFonts w:ascii="仿宋" w:hAnsi="仿宋" w:eastAsia="仿宋" w:cs="仿宋"/>
          <w:sz w:val="32"/>
          <w:szCs w:val="32"/>
        </w:rPr>
        <w:t>QT</w:t>
      </w:r>
      <w:r>
        <w:rPr>
          <w:rFonts w:hint="eastAsia" w:ascii="仿宋" w:hAnsi="仿宋" w:eastAsia="仿宋" w:cs="仿宋"/>
          <w:sz w:val="32"/>
          <w:szCs w:val="32"/>
        </w:rPr>
        <w:t>间期的药物同时使用。</w:t>
      </w:r>
    </w:p>
    <w:p>
      <w:pPr>
        <w:spacing w:line="360" w:lineRule="auto"/>
        <w:ind w:firstLine="640" w:firstLineChars="200"/>
        <w:rPr>
          <w:rFonts w:ascii="黑体" w:hAnsi="黑体" w:eastAsia="黑体" w:cs="Times New Roman"/>
          <w:sz w:val="32"/>
          <w:szCs w:val="32"/>
        </w:rPr>
      </w:pPr>
      <w:r>
        <w:rPr>
          <w:rFonts w:hint="eastAsia" w:ascii="黑体" w:hAnsi="黑体" w:eastAsia="黑体"/>
          <w:color w:val="000000"/>
          <w:sz w:val="32"/>
          <w:szCs w:val="32"/>
        </w:rPr>
        <w:t>八、</w:t>
      </w:r>
      <w:r>
        <w:rPr>
          <w:rFonts w:hint="eastAsia" w:ascii="黑体" w:hAnsi="黑体" w:eastAsia="黑体" w:cs="黑体"/>
          <w:sz w:val="32"/>
          <w:szCs w:val="32"/>
        </w:rPr>
        <w:t>纳武利尤单抗 N</w:t>
      </w:r>
      <w:r>
        <w:rPr>
          <w:rFonts w:ascii="黑体" w:hAnsi="黑体" w:eastAsia="黑体" w:cs="黑体"/>
          <w:sz w:val="32"/>
          <w:szCs w:val="32"/>
        </w:rPr>
        <w:t>ivolumab</w:t>
      </w:r>
    </w:p>
    <w:p>
      <w:pPr>
        <w:spacing w:line="360" w:lineRule="auto"/>
        <w:ind w:firstLine="611" w:firstLineChars="200"/>
        <w:rPr>
          <w:rFonts w:ascii="仿宋" w:hAnsi="仿宋" w:eastAsia="仿宋" w:cs="Times New Roman"/>
          <w:b/>
          <w:bCs/>
          <w:w w:val="95"/>
          <w:sz w:val="32"/>
          <w:szCs w:val="32"/>
          <w:lang w:val="it-IT"/>
        </w:rPr>
      </w:pPr>
      <w:r>
        <w:rPr>
          <w:rFonts w:hint="eastAsia" w:ascii="仿宋" w:hAnsi="仿宋" w:eastAsia="仿宋" w:cs="仿宋"/>
          <w:b/>
          <w:bCs/>
          <w:w w:val="95"/>
          <w:sz w:val="32"/>
          <w:szCs w:val="32"/>
        </w:rPr>
        <w:t>制剂与规格</w:t>
      </w:r>
      <w:r>
        <w:rPr>
          <w:rFonts w:hint="eastAsia" w:ascii="仿宋" w:hAnsi="仿宋" w:eastAsia="仿宋" w:cs="仿宋"/>
          <w:w w:val="95"/>
          <w:sz w:val="32"/>
          <w:szCs w:val="32"/>
          <w:lang w:val="it-IT"/>
        </w:rPr>
        <w:t>：注射液：</w:t>
      </w:r>
      <w:r>
        <w:rPr>
          <w:rFonts w:ascii="仿宋" w:hAnsi="仿宋" w:eastAsia="仿宋" w:cs="仿宋"/>
          <w:w w:val="95"/>
          <w:sz w:val="32"/>
          <w:szCs w:val="32"/>
          <w:lang w:val="it-IT"/>
        </w:rPr>
        <w:t>40mg</w:t>
      </w:r>
      <w:r>
        <w:rPr>
          <w:rFonts w:hint="eastAsia" w:ascii="仿宋" w:hAnsi="仿宋" w:eastAsia="仿宋" w:cs="仿宋"/>
          <w:w w:val="95"/>
          <w:sz w:val="32"/>
          <w:szCs w:val="32"/>
          <w:lang w:val="it-IT"/>
        </w:rPr>
        <w:t>（</w:t>
      </w:r>
      <w:r>
        <w:rPr>
          <w:rFonts w:ascii="仿宋" w:hAnsi="仿宋" w:eastAsia="仿宋" w:cs="仿宋"/>
          <w:w w:val="95"/>
          <w:sz w:val="32"/>
          <w:szCs w:val="32"/>
          <w:lang w:val="it-IT"/>
        </w:rPr>
        <w:t>4ml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r>
        <w:rPr>
          <w:rFonts w:ascii="仿宋" w:hAnsi="仿宋" w:eastAsia="仿宋" w:cs="仿宋"/>
          <w:w w:val="95"/>
          <w:sz w:val="32"/>
          <w:szCs w:val="32"/>
          <w:lang w:val="it-IT"/>
        </w:rPr>
        <w:t>100mg</w:t>
      </w:r>
      <w:r>
        <w:rPr>
          <w:rFonts w:hint="eastAsia" w:ascii="仿宋" w:hAnsi="仿宋" w:eastAsia="仿宋" w:cs="仿宋"/>
          <w:w w:val="95"/>
          <w:sz w:val="32"/>
          <w:szCs w:val="32"/>
          <w:lang w:val="it-IT"/>
        </w:rPr>
        <w:t>（</w:t>
      </w:r>
      <w:r>
        <w:rPr>
          <w:rFonts w:ascii="仿宋" w:hAnsi="仿宋" w:eastAsia="仿宋" w:cs="仿宋"/>
          <w:w w:val="95"/>
          <w:sz w:val="32"/>
          <w:szCs w:val="32"/>
          <w:lang w:val="it-IT"/>
        </w:rPr>
        <w:t>10ml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：既往接受过两种或两种以上全身性治疗方案的晚期或复发性胃或胃食管连接部腺癌患者。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纳武利尤单抗基于ATTRACTION-2研究，获批的剂量是</w:t>
      </w:r>
      <w:r>
        <w:rPr>
          <w:rFonts w:ascii="仿宋" w:hAnsi="仿宋" w:eastAsia="仿宋" w:cs="仿宋"/>
          <w:sz w:val="32"/>
          <w:szCs w:val="32"/>
        </w:rPr>
        <w:t>3mg/kg</w:t>
      </w:r>
      <w:r>
        <w:rPr>
          <w:rFonts w:hint="eastAsia" w:ascii="仿宋" w:hAnsi="仿宋" w:eastAsia="仿宋" w:cs="仿宋"/>
          <w:sz w:val="32"/>
          <w:szCs w:val="32"/>
        </w:rPr>
        <w:t>，每</w:t>
      </w:r>
      <w:r>
        <w:rPr>
          <w:rFonts w:ascii="仿宋" w:hAnsi="仿宋" w:eastAsia="仿宋" w:cs="仿宋"/>
          <w:sz w:val="32"/>
          <w:szCs w:val="32"/>
        </w:rPr>
        <w:t>2</w:t>
      </w:r>
      <w:r>
        <w:rPr>
          <w:rFonts w:hint="eastAsia" w:ascii="仿宋" w:hAnsi="仿宋" w:eastAsia="仿宋" w:cs="仿宋"/>
          <w:sz w:val="32"/>
          <w:szCs w:val="32"/>
        </w:rPr>
        <w:t>周一次，</w:t>
      </w:r>
      <w:r>
        <w:rPr>
          <w:rFonts w:ascii="仿宋" w:hAnsi="仿宋" w:eastAsia="仿宋" w:cs="仿宋"/>
          <w:sz w:val="32"/>
          <w:szCs w:val="32"/>
        </w:rPr>
        <w:t>60</w:t>
      </w:r>
      <w:r>
        <w:rPr>
          <w:rFonts w:hint="eastAsia" w:ascii="仿宋" w:hAnsi="仿宋" w:eastAsia="仿宋" w:cs="仿宋"/>
          <w:sz w:val="32"/>
          <w:szCs w:val="32"/>
        </w:rPr>
        <w:t>分钟输注。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只要观察到临床获益，应继续纳武利尤单抗治疗，直至患者不能耐受，有可能观察到非典型反应。如果患者临床症状稳定或持续减轻，即使考虑有疾病进展的可能，但基于总体临床获益的判断，可考虑继续应用本品治疗，直至证实疾病进展。</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根据个体患者的安全性和耐受性，可暂停给药或停药，不建议增加或减少剂量。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发生</w:t>
      </w:r>
      <w:r>
        <w:rPr>
          <w:rFonts w:ascii="仿宋" w:hAnsi="仿宋" w:eastAsia="仿宋" w:cs="仿宋"/>
          <w:sz w:val="32"/>
          <w:szCs w:val="32"/>
        </w:rPr>
        <w:t>4</w:t>
      </w:r>
      <w:r>
        <w:rPr>
          <w:rFonts w:hint="eastAsia" w:ascii="仿宋" w:hAnsi="仿宋" w:eastAsia="仿宋" w:cs="仿宋"/>
          <w:sz w:val="32"/>
          <w:szCs w:val="32"/>
        </w:rPr>
        <w:t>级或复发性</w:t>
      </w:r>
      <w:r>
        <w:rPr>
          <w:rFonts w:ascii="仿宋" w:hAnsi="仿宋" w:eastAsia="仿宋" w:cs="仿宋"/>
          <w:sz w:val="32"/>
          <w:szCs w:val="32"/>
        </w:rPr>
        <w:t>3</w:t>
      </w:r>
      <w:r>
        <w:rPr>
          <w:rFonts w:hint="eastAsia" w:ascii="仿宋" w:hAnsi="仿宋" w:eastAsia="仿宋" w:cs="仿宋"/>
          <w:sz w:val="32"/>
          <w:szCs w:val="32"/>
        </w:rPr>
        <w:t>级不良反应，虽然进行治疗调整但仍持续存在</w:t>
      </w:r>
      <w:r>
        <w:rPr>
          <w:rFonts w:ascii="仿宋" w:hAnsi="仿宋" w:eastAsia="仿宋" w:cs="仿宋"/>
          <w:sz w:val="32"/>
          <w:szCs w:val="32"/>
        </w:rPr>
        <w:t>2</w:t>
      </w:r>
      <w:r>
        <w:rPr>
          <w:rFonts w:hint="eastAsia" w:ascii="仿宋" w:hAnsi="仿宋" w:eastAsia="仿宋" w:cs="仿宋"/>
          <w:sz w:val="32"/>
          <w:szCs w:val="32"/>
        </w:rPr>
        <w:t>级或</w:t>
      </w:r>
      <w:r>
        <w:rPr>
          <w:rFonts w:ascii="仿宋" w:hAnsi="仿宋" w:eastAsia="仿宋" w:cs="仿宋"/>
          <w:sz w:val="32"/>
          <w:szCs w:val="32"/>
        </w:rPr>
        <w:t>3</w:t>
      </w:r>
      <w:r>
        <w:rPr>
          <w:rFonts w:hint="eastAsia" w:ascii="仿宋" w:hAnsi="仿宋" w:eastAsia="仿宋" w:cs="仿宋"/>
          <w:sz w:val="32"/>
          <w:szCs w:val="32"/>
        </w:rPr>
        <w:t>级不良反应，应永久性停用纳武利尤单抗。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老年患者（≥</w:t>
      </w:r>
      <w:r>
        <w:rPr>
          <w:rFonts w:ascii="仿宋" w:hAnsi="仿宋" w:eastAsia="仿宋" w:cs="仿宋"/>
          <w:sz w:val="32"/>
          <w:szCs w:val="32"/>
        </w:rPr>
        <w:t>65</w:t>
      </w:r>
      <w:r>
        <w:rPr>
          <w:rFonts w:hint="eastAsia" w:ascii="仿宋" w:hAnsi="仿宋" w:eastAsia="仿宋" w:cs="仿宋"/>
          <w:sz w:val="32"/>
          <w:szCs w:val="32"/>
        </w:rPr>
        <w:t>岁）无需调整剂量。轻中度肾功能损伤患者无需调整剂量，重度肾功能损伤患者的数据有限。轻中度肝功能损伤患者无需调整剂量，没有对重度肝功能损伤患者进行本品的相关研究，重度（总胆红素、ALT或</w:t>
      </w:r>
      <w:r>
        <w:rPr>
          <w:rFonts w:ascii="仿宋" w:hAnsi="仿宋" w:eastAsia="仿宋" w:cs="仿宋"/>
          <w:sz w:val="32"/>
          <w:szCs w:val="32"/>
        </w:rPr>
        <w:t>AST</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倍正常值上限）肝功能损伤患者慎用本品。</w:t>
      </w:r>
    </w:p>
    <w:p>
      <w:pPr>
        <w:spacing w:line="360" w:lineRule="auto"/>
        <w:ind w:firstLine="640" w:firstLineChars="200"/>
        <w:rPr>
          <w:rFonts w:ascii="仿宋" w:hAnsi="仿宋" w:eastAsia="仿宋"/>
          <w:color w:val="000000"/>
          <w:sz w:val="32"/>
          <w:szCs w:val="32"/>
        </w:rPr>
      </w:pPr>
      <w:r>
        <w:rPr>
          <w:rFonts w:ascii="仿宋" w:hAnsi="仿宋" w:eastAsia="仿宋" w:cs="仿宋"/>
          <w:sz w:val="32"/>
          <w:szCs w:val="32"/>
        </w:rPr>
        <w:t>6.</w:t>
      </w:r>
      <w:r>
        <w:rPr>
          <w:rFonts w:hint="eastAsia" w:ascii="仿宋" w:hAnsi="仿宋" w:eastAsia="仿宋"/>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pPr>
        <w:spacing w:line="360" w:lineRule="auto"/>
        <w:ind w:firstLine="640" w:firstLineChars="200"/>
        <w:rPr>
          <w:rFonts w:ascii="仿宋" w:hAnsi="仿宋" w:eastAsia="仿宋" w:cs="Times New Roman"/>
          <w:sz w:val="32"/>
          <w:szCs w:val="32"/>
        </w:rPr>
      </w:pPr>
      <w:r>
        <w:rPr>
          <w:rFonts w:hint="eastAsia" w:ascii="仿宋" w:hAnsi="仿宋" w:eastAsia="仿宋"/>
          <w:color w:val="000000"/>
          <w:sz w:val="32"/>
          <w:szCs w:val="32"/>
        </w:rPr>
        <w:t>7.</w:t>
      </w:r>
      <w:r>
        <w:rPr>
          <w:rFonts w:hint="eastAsia" w:ascii="仿宋" w:hAnsi="仿宋" w:eastAsia="仿宋" w:cs="仿宋"/>
          <w:sz w:val="32"/>
          <w:szCs w:val="32"/>
        </w:rPr>
        <w:t>纳武利尤单抗可引起免疫相关性不良反应。因为不良反应可能在纳武利尤单抗治疗期间或纳武利尤单抗治疗停止后的任何时间发生，应持续进行患者监测（至少至末次给药后</w:t>
      </w:r>
      <w:r>
        <w:rPr>
          <w:rFonts w:ascii="仿宋" w:hAnsi="仿宋" w:eastAsia="仿宋" w:cs="仿宋"/>
          <w:sz w:val="32"/>
          <w:szCs w:val="32"/>
        </w:rPr>
        <w:t>5</w:t>
      </w:r>
      <w:r>
        <w:rPr>
          <w:rFonts w:hint="eastAsia" w:ascii="仿宋" w:hAnsi="仿宋" w:eastAsia="仿宋" w:cs="仿宋"/>
          <w:sz w:val="32"/>
          <w:szCs w:val="32"/>
        </w:rPr>
        <w:t>个月）。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对于疑似免疫相关性不良反应，应进行充分的评估以确认病因或排除其他病因。根据不良反应的严重程度，应暂停纳武利尤单抗治疗并给予糖皮质激素。若使用糖皮质激素免疫抑制疗法治疗不良反应，症状改善后，需逐渐减量至停药，快速减量可能引起不良反应恶化或复发。如果虽使用了糖皮质激素但仍恶化或无改善，则应增加非糖皮质激素性免疫抑制剂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9.</w:t>
      </w:r>
      <w:r>
        <w:rPr>
          <w:rFonts w:hint="eastAsia" w:ascii="仿宋" w:hAnsi="仿宋" w:eastAsia="仿宋" w:cs="仿宋"/>
          <w:sz w:val="32"/>
          <w:szCs w:val="32"/>
        </w:rPr>
        <w:t>在患者接受免疫抑制剂量的糖皮质激素或其他免疫抑制剂治疗期间，不可重新使用纳武利尤单抗治疗。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10.</w:t>
      </w:r>
      <w:r>
        <w:rPr>
          <w:rFonts w:hint="eastAsia" w:ascii="仿宋" w:hAnsi="仿宋" w:eastAsia="仿宋" w:cs="仿宋"/>
          <w:sz w:val="32"/>
          <w:szCs w:val="32"/>
        </w:rPr>
        <w:t>如果出现任何重度、复发的免疫相关性不良反应以及任何危及生命的免疫相关性不良反应，必须永久停止纳武利尤单抗治疗。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纳武利尤单抗是一种人单克隆抗体，因单克隆抗体不经CYP450或其他药物代谢酶代谢，因此，合并使用的药物对这些酶的抑制或诱导作用预期不会影响纳武利尤单抗的药代动力学性质。</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九、伊马替尼 I</w:t>
      </w:r>
      <w:r>
        <w:rPr>
          <w:rFonts w:ascii="黑体" w:hAnsi="黑体" w:eastAsia="黑体" w:cs="黑体"/>
          <w:sz w:val="32"/>
          <w:szCs w:val="32"/>
        </w:rPr>
        <w:t>matinib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）片剂：</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400mg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）胶囊：</w:t>
      </w:r>
      <w:r>
        <w:rPr>
          <w:rFonts w:ascii="仿宋" w:hAnsi="仿宋" w:eastAsia="仿宋" w:cs="仿宋"/>
          <w:sz w:val="32"/>
          <w:szCs w:val="32"/>
        </w:rPr>
        <w:t>50mg</w:t>
      </w:r>
      <w:r>
        <w:rPr>
          <w:rFonts w:hint="eastAsia" w:ascii="仿宋" w:hAnsi="仿宋" w:eastAsia="仿宋" w:cs="仿宋"/>
          <w:sz w:val="32"/>
          <w:szCs w:val="32"/>
        </w:rPr>
        <w:t>、</w:t>
      </w:r>
      <w:r>
        <w:rPr>
          <w:rFonts w:ascii="仿宋" w:hAnsi="仿宋" w:eastAsia="仿宋" w:cs="仿宋"/>
          <w:sz w:val="32"/>
          <w:szCs w:val="32"/>
        </w:rPr>
        <w:t>100mg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用于治疗不能切除和</w:t>
      </w:r>
      <w:r>
        <w:rPr>
          <w:rFonts w:ascii="仿宋" w:hAnsi="仿宋" w:eastAsia="仿宋" w:cs="仿宋"/>
          <w:sz w:val="32"/>
          <w:szCs w:val="32"/>
        </w:rPr>
        <w:t>/</w:t>
      </w:r>
      <w:r>
        <w:rPr>
          <w:rFonts w:hint="eastAsia" w:ascii="仿宋" w:hAnsi="仿宋" w:eastAsia="仿宋" w:cs="仿宋"/>
          <w:sz w:val="32"/>
          <w:szCs w:val="32"/>
        </w:rPr>
        <w:t>或发生转移的胃肠间质瘤成人患者。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用于C-</w:t>
      </w:r>
      <w:r>
        <w:rPr>
          <w:rFonts w:ascii="仿宋" w:hAnsi="仿宋" w:eastAsia="仿宋" w:cs="仿宋"/>
          <w:sz w:val="32"/>
          <w:szCs w:val="32"/>
        </w:rPr>
        <w:t>Kit</w:t>
      </w:r>
      <w:r>
        <w:rPr>
          <w:rFonts w:hint="eastAsia" w:ascii="仿宋" w:hAnsi="仿宋" w:eastAsia="仿宋" w:cs="仿宋"/>
          <w:sz w:val="32"/>
          <w:szCs w:val="32"/>
        </w:rPr>
        <w:t>（</w:t>
      </w:r>
      <w:r>
        <w:rPr>
          <w:rFonts w:ascii="仿宋" w:hAnsi="仿宋" w:eastAsia="仿宋" w:cs="仿宋"/>
          <w:sz w:val="32"/>
          <w:szCs w:val="32"/>
        </w:rPr>
        <w:t>CD117</w:t>
      </w:r>
      <w:r>
        <w:rPr>
          <w:rFonts w:hint="eastAsia" w:ascii="仿宋" w:hAnsi="仿宋" w:eastAsia="仿宋" w:cs="仿宋"/>
          <w:sz w:val="32"/>
          <w:szCs w:val="32"/>
        </w:rPr>
        <w:t>）阳性胃肠间质瘤手术切除后具有明显复发风险的成人患者的辅助治疗。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用药期间必须注意常见的不良反应，例如：体液潴留、恶心、腹泻、皮疹、中性粒细胞减少、血小板减少、贫血、疼痛性肌痉挛以及肝功能损伤。</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密切关注肝功能</w:t>
      </w:r>
      <w:r>
        <w:rPr>
          <w:rFonts w:hint="eastAsia" w:ascii="仿宋" w:hAnsi="仿宋" w:eastAsia="仿宋" w:cs="仿宋"/>
          <w:w w:val="98"/>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治疗后若未能获得满意疗效，如果没有严重药物不良反应，剂量可增加到每天</w:t>
      </w:r>
      <w:r>
        <w:rPr>
          <w:rFonts w:ascii="仿宋" w:hAnsi="仿宋" w:eastAsia="仿宋" w:cs="仿宋"/>
          <w:sz w:val="32"/>
          <w:szCs w:val="32"/>
        </w:rPr>
        <w:t>0.6</w:t>
      </w:r>
      <w:r>
        <w:rPr>
          <w:rFonts w:hint="eastAsia" w:ascii="仿宋" w:hAnsi="仿宋" w:eastAsia="仿宋" w:cs="仿宋"/>
          <w:sz w:val="32"/>
          <w:szCs w:val="32"/>
        </w:rPr>
        <w:t>～</w:t>
      </w:r>
      <w:r>
        <w:rPr>
          <w:rFonts w:ascii="仿宋" w:hAnsi="仿宋" w:eastAsia="仿宋" w:cs="仿宋"/>
          <w:sz w:val="32"/>
          <w:szCs w:val="32"/>
        </w:rPr>
        <w:t>0.8g</w:t>
      </w:r>
      <w:r>
        <w:rPr>
          <w:rFonts w:hint="eastAsia" w:ascii="仿宋" w:hAnsi="仿宋" w:eastAsia="仿宋" w:cs="仿宋"/>
          <w:sz w:val="32"/>
          <w:szCs w:val="32"/>
        </w:rPr>
        <w:t>；若患者从本药持续获益，可持续接受本药治疗。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对于潜在可切除的胃肠间质瘤患者，伊马替尼新辅助治疗也可令患者获益。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5.本品是CYP3A4的底物，同时给予CYP3A4诱导剂后伊马替尼的血浆浓度降低，从而导致疗效减低，应避免伊马替尼与CYP3A4诱导剂同时服用。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伊马替尼应在进餐时服用，并饮一大杯水。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的儿童和青春前期青少年出现发育迟缓。暂不知伊马替尼延长治疗对儿童发育的长期影响。因此，建议对使用伊马替尼的儿童的发育情况进行密切监测。</w:t>
      </w:r>
    </w:p>
    <w:p>
      <w:pPr>
        <w:spacing w:line="360" w:lineRule="auto"/>
        <w:ind w:firstLine="640" w:firstLineChars="200"/>
        <w:rPr>
          <w:rFonts w:ascii="仿宋" w:hAnsi="仿宋" w:eastAsia="仿宋" w:cs="仿宋"/>
          <w:kern w:val="0"/>
          <w:sz w:val="32"/>
          <w:szCs w:val="32"/>
        </w:rPr>
      </w:pPr>
      <w:r>
        <w:rPr>
          <w:rFonts w:hint="eastAsia" w:ascii="黑体" w:hAnsi="黑体" w:eastAsia="黑体" w:cs="黑体"/>
          <w:sz w:val="32"/>
          <w:szCs w:val="32"/>
        </w:rPr>
        <w:t>十、舒尼替尼 S</w:t>
      </w:r>
      <w:r>
        <w:rPr>
          <w:rFonts w:ascii="黑体" w:hAnsi="黑体" w:eastAsia="黑体" w:cs="黑体"/>
          <w:sz w:val="32"/>
          <w:szCs w:val="32"/>
        </w:rPr>
        <w:t>unitinib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kern w:val="0"/>
          <w:sz w:val="32"/>
          <w:szCs w:val="32"/>
        </w:rPr>
        <w:t>制剂与规格：</w:t>
      </w:r>
      <w:r>
        <w:rPr>
          <w:rFonts w:hint="eastAsia" w:ascii="仿宋" w:hAnsi="仿宋" w:eastAsia="仿宋" w:cs="仿宋"/>
          <w:sz w:val="32"/>
          <w:szCs w:val="32"/>
        </w:rPr>
        <w:t>胶囊：</w:t>
      </w:r>
      <w:r>
        <w:rPr>
          <w:rFonts w:ascii="仿宋" w:hAnsi="仿宋" w:eastAsia="仿宋" w:cs="仿宋"/>
          <w:sz w:val="32"/>
          <w:szCs w:val="32"/>
        </w:rPr>
        <w:t>12.5mg</w:t>
      </w:r>
      <w:r>
        <w:rPr>
          <w:rFonts w:hint="eastAsia" w:ascii="仿宋" w:hAnsi="仿宋" w:eastAsia="仿宋" w:cs="仿宋"/>
          <w:sz w:val="32"/>
          <w:szCs w:val="32"/>
        </w:rPr>
        <w:t>、</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37.5mg</w:t>
      </w:r>
      <w:r>
        <w:rPr>
          <w:rFonts w:hint="eastAsia" w:ascii="仿宋" w:hAnsi="仿宋" w:eastAsia="仿宋" w:cs="仿宋"/>
          <w:sz w:val="32"/>
          <w:szCs w:val="32"/>
        </w:rPr>
        <w:t>、</w:t>
      </w:r>
      <w:r>
        <w:rPr>
          <w:rFonts w:ascii="仿宋" w:hAnsi="仿宋" w:eastAsia="仿宋" w:cs="仿宋"/>
          <w:sz w:val="32"/>
          <w:szCs w:val="32"/>
        </w:rPr>
        <w:t xml:space="preserve">50mg </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伊马替尼治疗失败或不能耐受的胃肠间质瘤患者。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不可切除的、转移性高分化进展期胰腺神经内分泌瘤成年患者。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b/>
          <w:bCs/>
          <w:sz w:val="32"/>
          <w:szCs w:val="32"/>
        </w:rPr>
      </w:pPr>
      <w:r>
        <w:rPr>
          <w:rFonts w:hint="eastAsia" w:ascii="仿宋" w:hAnsi="仿宋" w:eastAsia="仿宋" w:cs="仿宋"/>
          <w:bCs/>
          <w:sz w:val="32"/>
          <w:szCs w:val="32"/>
        </w:rPr>
        <w:t>1.</w:t>
      </w:r>
      <w:r>
        <w:rPr>
          <w:rFonts w:hint="eastAsia" w:ascii="仿宋" w:hAnsi="仿宋" w:eastAsia="仿宋" w:cs="仿宋"/>
          <w:sz w:val="32"/>
          <w:szCs w:val="32"/>
        </w:rPr>
        <w:t>每日推荐最高剂量</w:t>
      </w:r>
      <w:r>
        <w:rPr>
          <w:rFonts w:ascii="仿宋" w:hAnsi="仿宋" w:eastAsia="仿宋" w:cs="仿宋"/>
          <w:sz w:val="32"/>
          <w:szCs w:val="32"/>
        </w:rPr>
        <w:t>50mg</w:t>
      </w:r>
      <w:r>
        <w:rPr>
          <w:rFonts w:hint="eastAsia" w:ascii="仿宋" w:hAnsi="仿宋" w:eastAsia="仿宋" w:cs="仿宋"/>
          <w:sz w:val="32"/>
          <w:szCs w:val="32"/>
        </w:rPr>
        <w:t>，服药</w:t>
      </w:r>
      <w:r>
        <w:rPr>
          <w:rFonts w:ascii="仿宋" w:hAnsi="仿宋" w:eastAsia="仿宋" w:cs="仿宋"/>
          <w:sz w:val="32"/>
          <w:szCs w:val="32"/>
        </w:rPr>
        <w:t>4</w:t>
      </w:r>
      <w:r>
        <w:rPr>
          <w:rFonts w:hint="eastAsia" w:ascii="仿宋" w:hAnsi="仿宋" w:eastAsia="仿宋" w:cs="仿宋"/>
          <w:sz w:val="32"/>
          <w:szCs w:val="32"/>
        </w:rPr>
        <w:t>周、停药</w:t>
      </w:r>
      <w:r>
        <w:rPr>
          <w:rFonts w:ascii="仿宋" w:hAnsi="仿宋" w:eastAsia="仿宋" w:cs="仿宋"/>
          <w:sz w:val="32"/>
          <w:szCs w:val="32"/>
        </w:rPr>
        <w:t>2</w:t>
      </w:r>
      <w:r>
        <w:rPr>
          <w:rFonts w:hint="eastAsia" w:ascii="仿宋" w:hAnsi="仿宋" w:eastAsia="仿宋" w:cs="仿宋"/>
          <w:sz w:val="32"/>
          <w:szCs w:val="32"/>
        </w:rPr>
        <w:t>周，与进食无相关性；若必须与</w:t>
      </w:r>
      <w:r>
        <w:rPr>
          <w:rFonts w:ascii="仿宋" w:hAnsi="仿宋" w:eastAsia="仿宋" w:cs="仿宋"/>
          <w:sz w:val="32"/>
          <w:szCs w:val="32"/>
        </w:rPr>
        <w:t>CYP3A4</w:t>
      </w:r>
      <w:r>
        <w:rPr>
          <w:rFonts w:hint="eastAsia" w:ascii="仿宋" w:hAnsi="仿宋" w:eastAsia="仿宋" w:cs="仿宋"/>
          <w:sz w:val="32"/>
          <w:szCs w:val="32"/>
        </w:rPr>
        <w:t>抑制剂联合使用，剂量可减至</w:t>
      </w:r>
      <w:r>
        <w:rPr>
          <w:rFonts w:ascii="仿宋" w:hAnsi="仿宋" w:eastAsia="仿宋" w:cs="仿宋"/>
          <w:sz w:val="32"/>
          <w:szCs w:val="32"/>
        </w:rPr>
        <w:t>37.5mg</w:t>
      </w:r>
      <w:r>
        <w:rPr>
          <w:rFonts w:hint="eastAsia" w:ascii="仿宋" w:hAnsi="仿宋" w:eastAsia="仿宋" w:cs="仿宋"/>
          <w:sz w:val="32"/>
          <w:szCs w:val="32"/>
        </w:rPr>
        <w:t>；若必须与</w:t>
      </w:r>
      <w:r>
        <w:rPr>
          <w:rFonts w:ascii="仿宋" w:hAnsi="仿宋" w:eastAsia="仿宋" w:cs="仿宋"/>
          <w:sz w:val="32"/>
          <w:szCs w:val="32"/>
        </w:rPr>
        <w:t>CYP3A4</w:t>
      </w:r>
      <w:r>
        <w:rPr>
          <w:rFonts w:hint="eastAsia" w:ascii="仿宋" w:hAnsi="仿宋" w:eastAsia="仿宋" w:cs="仿宋"/>
          <w:sz w:val="32"/>
          <w:szCs w:val="32"/>
        </w:rPr>
        <w:t>诱导剂联合使用，最大剂量不超过</w:t>
      </w:r>
      <w:r>
        <w:rPr>
          <w:rFonts w:ascii="仿宋" w:hAnsi="仿宋" w:eastAsia="仿宋" w:cs="仿宋"/>
          <w:sz w:val="32"/>
          <w:szCs w:val="32"/>
        </w:rPr>
        <w:t>87.5mg</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用药期间必须注意常见的不良反应，例如：白细胞减少、腹泻、乏力、手足综合征；潜在严重的不良反应为肝毒性、左心室功能障碍、</w:t>
      </w:r>
      <w:r>
        <w:rPr>
          <w:rFonts w:ascii="仿宋" w:hAnsi="仿宋" w:eastAsia="仿宋" w:cs="仿宋"/>
          <w:sz w:val="32"/>
          <w:szCs w:val="32"/>
        </w:rPr>
        <w:t>QT</w:t>
      </w:r>
      <w:r>
        <w:rPr>
          <w:rFonts w:hint="eastAsia" w:ascii="仿宋" w:hAnsi="仿宋" w:eastAsia="仿宋" w:cs="仿宋"/>
          <w:sz w:val="32"/>
          <w:szCs w:val="32"/>
        </w:rPr>
        <w:t>间期延长、出血、高血压、甲状腺功能不全。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若出现充血性心力衰竭的临床表现，建议停药；无充血性心力衰竭临床证据但射血分数＜</w:t>
      </w:r>
      <w:r>
        <w:rPr>
          <w:rFonts w:ascii="仿宋" w:hAnsi="仿宋" w:eastAsia="仿宋" w:cs="仿宋"/>
          <w:sz w:val="32"/>
          <w:szCs w:val="32"/>
        </w:rPr>
        <w:t>50%</w:t>
      </w:r>
      <w:r>
        <w:rPr>
          <w:rFonts w:hint="eastAsia" w:ascii="仿宋" w:hAnsi="仿宋" w:eastAsia="仿宋" w:cs="仿宋"/>
          <w:sz w:val="32"/>
          <w:szCs w:val="32"/>
        </w:rPr>
        <w:t>以及射血分数低于基线</w:t>
      </w:r>
      <w:r>
        <w:rPr>
          <w:rFonts w:ascii="仿宋" w:hAnsi="仿宋" w:eastAsia="仿宋" w:cs="仿宋"/>
          <w:sz w:val="32"/>
          <w:szCs w:val="32"/>
        </w:rPr>
        <w:t>20%</w:t>
      </w:r>
      <w:r>
        <w:rPr>
          <w:rFonts w:hint="eastAsia" w:ascii="仿宋" w:hAnsi="仿宋" w:eastAsia="仿宋" w:cs="仿宋"/>
          <w:sz w:val="32"/>
          <w:szCs w:val="32"/>
        </w:rPr>
        <w:t>的患者也应停药和</w:t>
      </w:r>
      <w:r>
        <w:rPr>
          <w:rFonts w:ascii="仿宋" w:hAnsi="仿宋" w:eastAsia="仿宋" w:cs="仿宋"/>
          <w:sz w:val="32"/>
          <w:szCs w:val="32"/>
        </w:rPr>
        <w:t>/</w:t>
      </w:r>
      <w:r>
        <w:rPr>
          <w:rFonts w:hint="eastAsia" w:ascii="仿宋" w:hAnsi="仿宋" w:eastAsia="仿宋" w:cs="仿宋"/>
          <w:sz w:val="32"/>
          <w:szCs w:val="32"/>
        </w:rPr>
        <w:t>或减量。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可延长</w:t>
      </w:r>
      <w:r>
        <w:rPr>
          <w:rFonts w:ascii="仿宋" w:hAnsi="仿宋" w:eastAsia="仿宋" w:cs="仿宋"/>
          <w:sz w:val="32"/>
          <w:szCs w:val="32"/>
        </w:rPr>
        <w:t>QT</w:t>
      </w:r>
      <w:r>
        <w:rPr>
          <w:rFonts w:hint="eastAsia" w:ascii="仿宋" w:hAnsi="仿宋" w:eastAsia="仿宋" w:cs="仿宋"/>
          <w:sz w:val="32"/>
          <w:szCs w:val="32"/>
        </w:rPr>
        <w:t>间期，且呈剂量依赖性。应慎用于已知有</w:t>
      </w:r>
      <w:r>
        <w:rPr>
          <w:rFonts w:ascii="仿宋" w:hAnsi="仿宋" w:eastAsia="仿宋" w:cs="仿宋"/>
          <w:sz w:val="32"/>
          <w:szCs w:val="32"/>
        </w:rPr>
        <w:t>QT</w:t>
      </w:r>
      <w:r>
        <w:rPr>
          <w:rFonts w:hint="eastAsia" w:ascii="仿宋" w:hAnsi="仿宋" w:eastAsia="仿宋" w:cs="仿宋"/>
          <w:sz w:val="32"/>
          <w:szCs w:val="32"/>
        </w:rPr>
        <w:t>间期延长病史的患者、服用抗心律失常药物的患者或有相应基础心脏疾病、心动过缓和电解质紊乱的患者。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使用期间如果发生严重高血压，应暂停使用，直至高血压得到控制。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本品具有肝毒性，可能导致肝脏衰竭或死亡。已在临床研究中观察到肝脏衰竭的发生（发生率＜1%）。在治疗开始前、每个治疗周期、以及临床需要时应监测肝功能（ALT，AST，胆红素）。当出现3级或4级药物相关的肝功能不良反应中断用药，若无法恢复应终止治疗。</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十一、依维莫司 E</w:t>
      </w:r>
      <w:r>
        <w:rPr>
          <w:rFonts w:ascii="黑体" w:hAnsi="黑体" w:eastAsia="黑体" w:cs="黑体"/>
          <w:sz w:val="32"/>
          <w:szCs w:val="32"/>
        </w:rPr>
        <w:t>verolimus</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5mg</w:t>
      </w:r>
      <w:r>
        <w:rPr>
          <w:rFonts w:hint="eastAsia" w:ascii="仿宋" w:hAnsi="仿宋" w:eastAsia="仿宋" w:cs="仿宋"/>
          <w:sz w:val="32"/>
          <w:szCs w:val="32"/>
        </w:rPr>
        <w:t>、</w:t>
      </w:r>
      <w:r>
        <w:rPr>
          <w:rFonts w:ascii="仿宋" w:hAnsi="仿宋" w:eastAsia="仿宋" w:cs="仿宋"/>
          <w:sz w:val="32"/>
          <w:szCs w:val="32"/>
        </w:rPr>
        <w:t xml:space="preserve">10mg </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不可切除的、局部晩期或转移性的、分化良好的（中度分化或高度分化）进展期胰腺神经内分泌瘤成人患者。无法手术切除的、局部晩期或转移性的、分化良好的、进展期非功能性胃肠道或肺源神经内分泌肿瘤（NET）成人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1.用药期间必须注意常见的不良反应，包括口腔炎、皮疹、疲劳、腹泻、感染、恶心、食欲下降、贫血、味觉障碍、周围水肿、高血糖和头痛。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非感染性肺炎是雷帕霉素衍生物（包括本品）的类效应。对本品有效成分、其他雷帕霉素衍生物或本品中任何辅料过敏者禁用。使用依维莫司和其他雷帕霉素衍生物患者中观察到的过敏反应表现包括但不限于：呼吸困难、潮红、胸痛或血管性水肿（例如：伴或不伴呼吸功能不全的气道或舌肿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3.同时使用血管紧张素转换酶抑制剂的患者，可能发生血管性水肿的风险升高。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4.在本品治疗期间应避免接种活疫苗，例如流感、麻疹、腮腺炎、风疹、口服脊髓灰质炎、卡介苗、黄热病、水痘和TY21a伤寒疫苗等，避免与接种过活疫苗的人密切接触。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对所有患者都应逬行常规的依维莫司全血谷浓度监测。≥65岁老年患者用药的死亡率及发生严重不良反应而终止治疗的发生率明显增高。因此，老年患者使用依维莫司，必须监测不良反应的发生，并且及时调整用药剂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6.应避免合并使用强效CYP3A4或P-糖蛋白抑制剂、CYP3A4强效诱导剂。</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十二、西妥昔单抗C</w:t>
      </w:r>
      <w:r>
        <w:rPr>
          <w:rFonts w:ascii="黑体" w:hAnsi="黑体" w:eastAsia="黑体" w:cs="黑体"/>
          <w:sz w:val="32"/>
          <w:szCs w:val="32"/>
        </w:rPr>
        <w:t>etuximab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20ml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用于治疗RAS、BRAF基因野生型的转移性结直肠癌：与FOLFOX或FOLFIRI方案联合用于一线治疗；与伊立替康联合用于经含伊立替康治疗失败后的患者。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highlight w:val="yellow"/>
        </w:rPr>
        <w:t>用药前必须使用经过验证的方法检测</w:t>
      </w:r>
      <w:r>
        <w:rPr>
          <w:rFonts w:ascii="仿宋" w:hAnsi="仿宋" w:eastAsia="仿宋" w:cs="仿宋"/>
          <w:sz w:val="32"/>
          <w:szCs w:val="32"/>
          <w:highlight w:val="yellow"/>
        </w:rPr>
        <w:t>RAS</w:t>
      </w:r>
      <w:r>
        <w:rPr>
          <w:rFonts w:hint="eastAsia" w:ascii="仿宋" w:hAnsi="仿宋" w:eastAsia="仿宋" w:cs="仿宋"/>
          <w:sz w:val="32"/>
          <w:szCs w:val="32"/>
          <w:highlight w:val="yellow"/>
        </w:rPr>
        <w:t>基因状态，</w:t>
      </w:r>
      <w:r>
        <w:rPr>
          <w:rFonts w:ascii="仿宋" w:hAnsi="仿宋" w:eastAsia="仿宋" w:cs="仿宋"/>
          <w:sz w:val="32"/>
          <w:szCs w:val="32"/>
          <w:highlight w:val="yellow"/>
        </w:rPr>
        <w:t>RAS</w:t>
      </w:r>
      <w:r>
        <w:rPr>
          <w:rFonts w:hint="eastAsia" w:ascii="仿宋" w:hAnsi="仿宋" w:eastAsia="仿宋" w:cs="仿宋"/>
          <w:sz w:val="32"/>
          <w:szCs w:val="32"/>
          <w:highlight w:val="yellow"/>
        </w:rPr>
        <w:t>基因野生型是接受西妥昔单抗治疗的先决条件，本品不用于治疗</w:t>
      </w:r>
      <w:r>
        <w:rPr>
          <w:rFonts w:ascii="仿宋" w:hAnsi="仿宋" w:eastAsia="仿宋" w:cs="仿宋"/>
          <w:sz w:val="32"/>
          <w:szCs w:val="32"/>
          <w:highlight w:val="yellow"/>
        </w:rPr>
        <w:t>RAS</w:t>
      </w:r>
      <w:r>
        <w:rPr>
          <w:rFonts w:hint="eastAsia" w:ascii="仿宋" w:hAnsi="仿宋" w:eastAsia="仿宋" w:cs="仿宋"/>
          <w:sz w:val="32"/>
          <w:szCs w:val="32"/>
          <w:highlight w:val="yellow"/>
        </w:rPr>
        <w:t>基因突变型或</w:t>
      </w:r>
      <w:r>
        <w:rPr>
          <w:rFonts w:ascii="仿宋" w:hAnsi="仿宋" w:eastAsia="仿宋" w:cs="仿宋"/>
          <w:sz w:val="32"/>
          <w:szCs w:val="32"/>
          <w:highlight w:val="yellow"/>
        </w:rPr>
        <w:t>RAS</w:t>
      </w:r>
      <w:r>
        <w:rPr>
          <w:rFonts w:hint="eastAsia" w:ascii="仿宋" w:hAnsi="仿宋" w:eastAsia="仿宋" w:cs="仿宋"/>
          <w:sz w:val="32"/>
          <w:szCs w:val="32"/>
          <w:highlight w:val="yellow"/>
        </w:rPr>
        <w:t>状态不明的患者</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转化性治疗：结直肠癌患者合并肝转移和</w:t>
      </w:r>
      <w:r>
        <w:rPr>
          <w:rFonts w:ascii="仿宋" w:hAnsi="仿宋" w:eastAsia="仿宋" w:cs="仿宋"/>
          <w:sz w:val="32"/>
          <w:szCs w:val="32"/>
        </w:rPr>
        <w:t>/</w:t>
      </w:r>
      <w:r>
        <w:rPr>
          <w:rFonts w:hint="eastAsia" w:ascii="仿宋" w:hAnsi="仿宋" w:eastAsia="仿宋" w:cs="仿宋"/>
          <w:sz w:val="32"/>
          <w:szCs w:val="32"/>
        </w:rPr>
        <w:t>或肺转移，潜在可切除，可选择西妥昔单抗联合化疗（</w:t>
      </w:r>
      <w:r>
        <w:rPr>
          <w:rFonts w:ascii="仿宋" w:hAnsi="仿宋" w:eastAsia="仿宋" w:cs="仿宋"/>
          <w:sz w:val="32"/>
          <w:szCs w:val="32"/>
        </w:rPr>
        <w:t>RAS</w:t>
      </w:r>
      <w:r>
        <w:rPr>
          <w:rFonts w:hint="eastAsia" w:ascii="仿宋" w:hAnsi="仿宋" w:eastAsia="仿宋" w:cs="仿宋"/>
          <w:sz w:val="32"/>
          <w:szCs w:val="32"/>
        </w:rPr>
        <w:t>野生型）。</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姑息治疗：转移性结直肠癌患者（</w:t>
      </w:r>
      <w:r>
        <w:rPr>
          <w:rFonts w:ascii="仿宋" w:hAnsi="仿宋" w:eastAsia="仿宋" w:cs="仿宋"/>
          <w:sz w:val="32"/>
          <w:szCs w:val="32"/>
        </w:rPr>
        <w:t>RAS</w:t>
      </w:r>
      <w:r>
        <w:rPr>
          <w:rFonts w:hint="eastAsia" w:ascii="仿宋" w:hAnsi="仿宋" w:eastAsia="仿宋" w:cs="仿宋"/>
          <w:sz w:val="32"/>
          <w:szCs w:val="32"/>
        </w:rPr>
        <w:t>野生型）一、二线治疗，尤其是左半肠癌患者，可选择西妥昔单抗</w:t>
      </w:r>
      <w:r>
        <w:rPr>
          <w:rFonts w:ascii="仿宋" w:hAnsi="仿宋" w:eastAsia="仿宋" w:cs="仿宋"/>
          <w:sz w:val="32"/>
          <w:szCs w:val="32"/>
        </w:rPr>
        <w:t>+</w:t>
      </w:r>
      <w:r>
        <w:rPr>
          <w:rFonts w:hint="eastAsia" w:ascii="仿宋" w:hAnsi="仿宋" w:eastAsia="仿宋" w:cs="仿宋"/>
          <w:sz w:val="32"/>
          <w:szCs w:val="32"/>
        </w:rPr>
        <w:t>化疗。对一、二线治疗中没有使用西妥昔单抗的患者（</w:t>
      </w:r>
      <w:r>
        <w:rPr>
          <w:rFonts w:ascii="仿宋" w:hAnsi="仿宋" w:eastAsia="仿宋" w:cs="仿宋"/>
          <w:sz w:val="32"/>
          <w:szCs w:val="32"/>
        </w:rPr>
        <w:t>RAS</w:t>
      </w:r>
      <w:r>
        <w:rPr>
          <w:rFonts w:hint="eastAsia" w:ascii="仿宋" w:hAnsi="仿宋" w:eastAsia="仿宋" w:cs="仿宋"/>
          <w:sz w:val="32"/>
          <w:szCs w:val="32"/>
        </w:rPr>
        <w:t>野生型），可选择西妥昔单抗联合伊立替康化疗。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如果初始使用西妥昔单抗治疗有效（CR/PR/SD），进展后接受不含西妥昔单抗的二线或后线治疗并再次发生进展时，如RAS基因仍为野生型，可考虑西妥昔单抗联合伊立替康进行再挑战治疗。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本品常可引起不同程度的皮肤毒性反应，主要表现为痤疮样皮疹，此类患者用药期间应注意避光。轻中度皮肤毒性反应无需调整剂量，发生重度皮肤毒性反应者，应酌情减量。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严重的输液反应发生率为</w:t>
      </w:r>
      <w:r>
        <w:rPr>
          <w:rFonts w:ascii="仿宋" w:hAnsi="仿宋" w:eastAsia="仿宋" w:cs="仿宋"/>
          <w:sz w:val="32"/>
          <w:szCs w:val="32"/>
        </w:rPr>
        <w:t>3%</w:t>
      </w:r>
      <w:r>
        <w:rPr>
          <w:rFonts w:hint="eastAsia" w:ascii="仿宋" w:hAnsi="仿宋" w:eastAsia="仿宋" w:cs="仿宋"/>
          <w:sz w:val="32"/>
          <w:szCs w:val="32"/>
        </w:rPr>
        <w:t>，致死率低于</w:t>
      </w:r>
      <w:r>
        <w:rPr>
          <w:rFonts w:ascii="仿宋" w:hAnsi="仿宋" w:eastAsia="仿宋" w:cs="仿宋"/>
          <w:sz w:val="32"/>
          <w:szCs w:val="32"/>
        </w:rPr>
        <w:t>0</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。其中</w:t>
      </w:r>
      <w:r>
        <w:rPr>
          <w:rFonts w:ascii="仿宋" w:hAnsi="仿宋" w:eastAsia="仿宋" w:cs="仿宋"/>
          <w:sz w:val="32"/>
          <w:szCs w:val="32"/>
        </w:rPr>
        <w:t>90%</w:t>
      </w:r>
      <w:r>
        <w:rPr>
          <w:rFonts w:hint="eastAsia" w:ascii="仿宋" w:hAnsi="仿宋" w:eastAsia="仿宋" w:cs="仿宋"/>
          <w:sz w:val="32"/>
          <w:szCs w:val="32"/>
        </w:rPr>
        <w:t>发生于第一次使用时，以突发性气道梗阻、荨麻疹和低血压为特征。首次滴注本品之前，患者必须接受抗组胺药物和糖皮质激素类药物的治疗，建议在随后每次使用本品之前都对患者进行这种治疗。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仅对肝肾功能正常的患者（血清肌酐≤正常值上限的</w:t>
      </w:r>
      <w:r>
        <w:rPr>
          <w:rFonts w:ascii="仿宋" w:hAnsi="仿宋" w:eastAsia="仿宋" w:cs="仿宋"/>
          <w:sz w:val="32"/>
          <w:szCs w:val="32"/>
        </w:rPr>
        <w:t>1.5</w:t>
      </w:r>
      <w:r>
        <w:rPr>
          <w:rFonts w:hint="eastAsia" w:ascii="仿宋" w:hAnsi="仿宋" w:eastAsia="仿宋" w:cs="仿宋"/>
          <w:sz w:val="32"/>
          <w:szCs w:val="32"/>
        </w:rPr>
        <w:t>倍，转氨酶≤正常值上限的</w:t>
      </w:r>
      <w:r>
        <w:rPr>
          <w:rFonts w:ascii="仿宋" w:hAnsi="仿宋" w:eastAsia="仿宋" w:cs="仿宋"/>
          <w:sz w:val="32"/>
          <w:szCs w:val="32"/>
        </w:rPr>
        <w:t>5</w:t>
      </w:r>
      <w:r>
        <w:rPr>
          <w:rFonts w:hint="eastAsia" w:ascii="仿宋" w:hAnsi="仿宋" w:eastAsia="仿宋" w:cs="仿宋"/>
          <w:sz w:val="32"/>
          <w:szCs w:val="32"/>
        </w:rPr>
        <w:t>倍，胆红素≤正常值上限的</w:t>
      </w:r>
      <w:r>
        <w:rPr>
          <w:rFonts w:ascii="仿宋" w:hAnsi="仿宋" w:eastAsia="仿宋" w:cs="仿宋"/>
          <w:sz w:val="32"/>
          <w:szCs w:val="32"/>
        </w:rPr>
        <w:t>1.5</w:t>
      </w:r>
      <w:r>
        <w:rPr>
          <w:rFonts w:hint="eastAsia" w:ascii="仿宋" w:hAnsi="仿宋" w:eastAsia="仿宋" w:cs="仿宋"/>
          <w:sz w:val="32"/>
          <w:szCs w:val="32"/>
        </w:rPr>
        <w:t>倍）进行过本品的相关研究。</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本品应储存在</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℃，禁止冷冻，开启后应立即使用。</w:t>
      </w:r>
    </w:p>
    <w:p>
      <w:pPr>
        <w:spacing w:line="360" w:lineRule="auto"/>
        <w:ind w:firstLine="640" w:firstLineChars="200"/>
        <w:rPr>
          <w:rFonts w:ascii="黑体" w:hAnsi="黑体" w:eastAsia="黑体"/>
          <w:color w:val="000000"/>
          <w:sz w:val="32"/>
          <w:szCs w:val="32"/>
        </w:rPr>
      </w:pPr>
      <w:r>
        <w:rPr>
          <w:rFonts w:hint="eastAsia" w:ascii="黑体" w:hAnsi="黑体" w:eastAsia="黑体" w:cs="黑体"/>
          <w:sz w:val="32"/>
          <w:szCs w:val="32"/>
        </w:rPr>
        <w:t>十三、贝伐珠单抗 B</w:t>
      </w:r>
      <w:r>
        <w:rPr>
          <w:rFonts w:ascii="黑体" w:hAnsi="黑体" w:eastAsia="黑体" w:cs="黑体"/>
          <w:sz w:val="32"/>
          <w:szCs w:val="32"/>
        </w:rPr>
        <w:t>evacizumab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1.转移性结直肠癌</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fldChar w:fldCharType="begin"/>
      </w:r>
      <w:r>
        <w:instrText xml:space="preserve"> HYPERLINK "http://www.4ge4.com/aizheng/xinyao/49323.html" \t "_blank" </w:instrText>
      </w:r>
      <w:r>
        <w:fldChar w:fldCharType="separate"/>
      </w:r>
      <w:r>
        <w:rPr>
          <w:rFonts w:ascii="仿宋" w:hAnsi="仿宋" w:eastAsia="仿宋" w:cs="仿宋"/>
          <w:sz w:val="32"/>
          <w:szCs w:val="32"/>
        </w:rPr>
        <w:t>贝伐珠单抗</w:t>
      </w:r>
      <w:r>
        <w:rPr>
          <w:rFonts w:ascii="仿宋" w:hAnsi="仿宋" w:eastAsia="仿宋" w:cs="仿宋"/>
          <w:sz w:val="32"/>
          <w:szCs w:val="32"/>
        </w:rPr>
        <w:fldChar w:fldCharType="end"/>
      </w:r>
      <w:r>
        <w:rPr>
          <w:rFonts w:ascii="仿宋" w:hAnsi="仿宋" w:eastAsia="仿宋" w:cs="仿宋"/>
          <w:sz w:val="32"/>
          <w:szCs w:val="32"/>
        </w:rPr>
        <w:t>联合以氟</w:t>
      </w:r>
      <w:r>
        <w:rPr>
          <w:rFonts w:hint="eastAsia" w:ascii="仿宋" w:hAnsi="仿宋" w:eastAsia="仿宋" w:cs="仿宋"/>
          <w:sz w:val="32"/>
          <w:szCs w:val="32"/>
        </w:rPr>
        <w:t>尿</w:t>
      </w:r>
      <w:r>
        <w:rPr>
          <w:rFonts w:ascii="仿宋" w:hAnsi="仿宋" w:eastAsia="仿宋" w:cs="仿宋"/>
          <w:sz w:val="32"/>
          <w:szCs w:val="32"/>
        </w:rPr>
        <w:t>嘧啶为基础的化疗适用于转移性结直肠癌患者的治疗。</w:t>
      </w:r>
    </w:p>
    <w:p>
      <w:pPr>
        <w:spacing w:line="360" w:lineRule="auto"/>
        <w:ind w:firstLine="643" w:firstLineChars="200"/>
        <w:rPr>
          <w:rFonts w:ascii="仿宋" w:hAnsi="仿宋" w:eastAsia="仿宋"/>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1.转移性结直肠癌患者的一、二线治疗，可选择贝伐珠单抗+化疗。</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2.一线接受含贝伐珠单抗方案治疗疾病控制后，随后给予贝伐珠单抗+氟尿嘧啶类药物维持直至疾病进展。</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3.一线使用贝伐珠单抗治疗疾病进展的患者，二线转换化疗方案后可继续联用贝伐珠单抗治疗直至疾病再次进展。</w:t>
      </w:r>
    </w:p>
    <w:p>
      <w:pPr>
        <w:spacing w:line="360" w:lineRule="auto"/>
        <w:ind w:firstLine="640" w:firstLineChars="200"/>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转移性结直肠癌</w:t>
      </w:r>
      <w:r>
        <w:rPr>
          <w:rFonts w:ascii="仿宋" w:hAnsi="仿宋" w:eastAsia="仿宋" w:cs="仿宋"/>
          <w:sz w:val="32"/>
          <w:szCs w:val="32"/>
        </w:rPr>
        <w:t>贝伐珠单抗静脉输注的推荐剂量为：联合化疗方案时，5mg/kg体重，每两周给药一次，或7.5mg/kg体重，每3周给药一次。</w:t>
      </w:r>
      <w:r>
        <w:rPr>
          <w:rFonts w:hint="eastAsia" w:ascii="仿宋" w:hAnsi="仿宋" w:eastAsia="仿宋" w:cs="仿宋"/>
          <w:sz w:val="32"/>
          <w:szCs w:val="32"/>
        </w:rPr>
        <w:t>不推荐降低贝伐珠单抗的使用剂量。</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贝伐珠单抗稀释后采用静脉输注的方式给药，首次静脉输注时间需持续</w:t>
      </w:r>
      <w:r>
        <w:rPr>
          <w:rFonts w:ascii="仿宋" w:hAnsi="仿宋" w:eastAsia="仿宋" w:cs="仿宋"/>
          <w:color w:val="000000"/>
          <w:sz w:val="32"/>
          <w:szCs w:val="32"/>
        </w:rPr>
        <w:t>90</w:t>
      </w:r>
      <w:r>
        <w:rPr>
          <w:rFonts w:hint="eastAsia" w:ascii="仿宋" w:hAnsi="仿宋" w:eastAsia="仿宋" w:cs="仿宋"/>
          <w:color w:val="000000"/>
          <w:sz w:val="32"/>
          <w:szCs w:val="32"/>
        </w:rPr>
        <w:t>分钟。如果第一次输注耐受性良好，则第二次输注的时间可以缩短到</w:t>
      </w:r>
      <w:r>
        <w:rPr>
          <w:rFonts w:ascii="仿宋" w:hAnsi="仿宋" w:eastAsia="仿宋" w:cs="仿宋"/>
          <w:color w:val="000000"/>
          <w:sz w:val="32"/>
          <w:szCs w:val="32"/>
        </w:rPr>
        <w:t>60</w:t>
      </w:r>
      <w:r>
        <w:rPr>
          <w:rFonts w:hint="eastAsia" w:ascii="仿宋" w:hAnsi="仿宋" w:eastAsia="仿宋" w:cs="仿宋"/>
          <w:color w:val="000000"/>
          <w:sz w:val="32"/>
          <w:szCs w:val="32"/>
        </w:rPr>
        <w:t>分钟。如果患者对</w:t>
      </w:r>
      <w:r>
        <w:rPr>
          <w:rFonts w:ascii="仿宋" w:hAnsi="仿宋" w:eastAsia="仿宋" w:cs="仿宋"/>
          <w:color w:val="000000"/>
          <w:sz w:val="32"/>
          <w:szCs w:val="32"/>
        </w:rPr>
        <w:t>60</w:t>
      </w:r>
      <w:r>
        <w:rPr>
          <w:rFonts w:hint="eastAsia" w:ascii="仿宋" w:hAnsi="仿宋" w:eastAsia="仿宋" w:cs="仿宋"/>
          <w:color w:val="000000"/>
          <w:sz w:val="32"/>
          <w:szCs w:val="32"/>
        </w:rPr>
        <w:t>分钟的输注也具有良好的耐受性，那么随后进行的所有输注都可以用</w:t>
      </w:r>
      <w:r>
        <w:rPr>
          <w:rFonts w:ascii="仿宋" w:hAnsi="仿宋" w:eastAsia="仿宋" w:cs="仿宋"/>
          <w:color w:val="000000"/>
          <w:sz w:val="32"/>
          <w:szCs w:val="32"/>
        </w:rPr>
        <w:t>30</w:t>
      </w:r>
      <w:r>
        <w:rPr>
          <w:rFonts w:hint="eastAsia" w:ascii="仿宋" w:hAnsi="仿宋" w:eastAsia="仿宋" w:cs="仿宋"/>
          <w:color w:val="000000"/>
          <w:sz w:val="32"/>
          <w:szCs w:val="32"/>
        </w:rPr>
        <w:t>分钟的时间完成。贝伐珠单抗不能采用静脉内推注或快速注射。</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在老年患者中应用时不需要进行剂量调整。</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出现以下情况，停止使用贝伐珠单抗：胃肠道严重不良反应（胃肠道穿孔、胃肠道瘘形成、腹腔脓肿），涉及到内脏瘘形成；严重出血（例如需要干预治疗）；严重动脉血栓事件；高血压危象或高血压脑病；可逆性后部白质脑病综合征；肾病综合征；危及生命（4级）的静脉血栓栓塞事件。</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如果出现以下状况，需暂停使用贝伐珠单抗：择期手术前4周；药物控制不良的严重高血压；中度到重度的蛋白尿需要进一步评估；严重输液反应；需要干预治疗的伤口裂开以及伤口愈合并发症（暂停用药至伤口完全愈合）。</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不能将贝伐珠单抗输注液与右旋糖或葡萄糖溶液同时或混合给药。</w:t>
      </w:r>
    </w:p>
    <w:p>
      <w:pPr>
        <w:spacing w:line="360" w:lineRule="auto"/>
        <w:ind w:firstLine="640" w:firstLineChars="200"/>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0</w:t>
      </w:r>
      <w:r>
        <w:rPr>
          <w:rFonts w:ascii="仿宋" w:hAnsi="仿宋" w:eastAsia="仿宋" w:cs="仿宋"/>
          <w:color w:val="000000"/>
          <w:sz w:val="32"/>
          <w:szCs w:val="32"/>
        </w:rPr>
        <w:t>.</w:t>
      </w:r>
      <w:r>
        <w:rPr>
          <w:rFonts w:hint="eastAsia" w:ascii="仿宋" w:hAnsi="仿宋" w:eastAsia="仿宋" w:cs="仿宋"/>
          <w:color w:val="000000"/>
          <w:sz w:val="32"/>
          <w:szCs w:val="32"/>
        </w:rPr>
        <w:t>贝伐珠单抗配制，用</w:t>
      </w:r>
      <w:r>
        <w:rPr>
          <w:rFonts w:ascii="仿宋" w:hAnsi="仿宋" w:eastAsia="仿宋" w:cs="仿宋"/>
          <w:color w:val="000000"/>
          <w:sz w:val="32"/>
          <w:szCs w:val="32"/>
        </w:rPr>
        <w:t>0.9%</w:t>
      </w:r>
      <w:r>
        <w:rPr>
          <w:rFonts w:hint="eastAsia" w:ascii="仿宋" w:hAnsi="仿宋" w:eastAsia="仿宋" w:cs="仿宋"/>
          <w:color w:val="000000"/>
          <w:sz w:val="32"/>
          <w:szCs w:val="32"/>
        </w:rPr>
        <w:t>的氯化钠溶液稀释到需要的给药容积。贝伐珠单抗溶液的终浓度应该保持在</w:t>
      </w:r>
      <w:r>
        <w:rPr>
          <w:rFonts w:ascii="仿宋" w:hAnsi="仿宋" w:eastAsia="仿宋" w:cs="仿宋"/>
          <w:color w:val="000000"/>
          <w:sz w:val="32"/>
          <w:szCs w:val="32"/>
        </w:rPr>
        <w:t>1.4</w:t>
      </w:r>
      <w:r>
        <w:rPr>
          <w:rFonts w:hint="eastAsia" w:ascii="仿宋" w:hAnsi="仿宋" w:eastAsia="仿宋" w:cs="仿宋"/>
          <w:color w:val="000000"/>
          <w:sz w:val="32"/>
          <w:szCs w:val="32"/>
        </w:rPr>
        <w:t>～</w:t>
      </w:r>
      <w:r>
        <w:rPr>
          <w:rFonts w:ascii="仿宋" w:hAnsi="仿宋" w:eastAsia="仿宋" w:cs="仿宋"/>
          <w:color w:val="000000"/>
          <w:sz w:val="32"/>
          <w:szCs w:val="32"/>
        </w:rPr>
        <w:t>16.5mg/ml</w:t>
      </w:r>
      <w:r>
        <w:rPr>
          <w:rFonts w:hint="eastAsia" w:ascii="仿宋" w:hAnsi="仿宋" w:eastAsia="仿宋" w:cs="仿宋"/>
          <w:color w:val="000000"/>
          <w:sz w:val="32"/>
          <w:szCs w:val="32"/>
        </w:rPr>
        <w:t>之间。</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1</w:t>
      </w:r>
      <w:r>
        <w:rPr>
          <w:rFonts w:ascii="仿宋" w:hAnsi="仿宋" w:eastAsia="仿宋" w:cs="仿宋"/>
          <w:color w:val="000000"/>
          <w:sz w:val="32"/>
          <w:szCs w:val="32"/>
        </w:rPr>
        <w:t>.</w:t>
      </w:r>
      <w:r>
        <w:rPr>
          <w:rFonts w:hint="eastAsia" w:ascii="仿宋" w:hAnsi="仿宋" w:eastAsia="仿宋" w:cs="仿宋"/>
          <w:color w:val="000000"/>
          <w:sz w:val="32"/>
          <w:szCs w:val="32"/>
        </w:rPr>
        <w:t>贝伐珠单抗禁止冷冻储存，禁止摇动。应避光，</w:t>
      </w: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ascii="仿宋" w:hAnsi="仿宋" w:eastAsia="仿宋" w:cs="仿宋"/>
          <w:color w:val="000000"/>
          <w:sz w:val="32"/>
          <w:szCs w:val="32"/>
        </w:rPr>
        <w:t>8</w:t>
      </w:r>
      <w:r>
        <w:rPr>
          <w:rFonts w:hint="eastAsia" w:ascii="仿宋" w:hAnsi="仿宋" w:eastAsia="仿宋" w:cs="仿宋"/>
          <w:color w:val="000000"/>
          <w:sz w:val="32"/>
          <w:szCs w:val="32"/>
        </w:rPr>
        <w:t>℃在原包装中储存和运输。</w:t>
      </w:r>
    </w:p>
    <w:p>
      <w:pPr>
        <w:spacing w:line="360" w:lineRule="auto"/>
        <w:ind w:firstLine="640" w:firstLineChars="200"/>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2</w:t>
      </w:r>
      <w:r>
        <w:rPr>
          <w:rFonts w:ascii="仿宋" w:hAnsi="仿宋" w:eastAsia="仿宋" w:cs="仿宋"/>
          <w:color w:val="000000"/>
          <w:sz w:val="32"/>
          <w:szCs w:val="32"/>
        </w:rPr>
        <w:t>.</w:t>
      </w:r>
      <w:r>
        <w:rPr>
          <w:rFonts w:hint="eastAsia" w:ascii="仿宋" w:hAnsi="仿宋" w:eastAsia="仿宋" w:cs="仿宋"/>
          <w:color w:val="000000"/>
          <w:sz w:val="32"/>
          <w:szCs w:val="32"/>
        </w:rPr>
        <w:t>在</w:t>
      </w: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ascii="仿宋" w:hAnsi="仿宋" w:eastAsia="仿宋" w:cs="仿宋"/>
          <w:color w:val="000000"/>
          <w:sz w:val="32"/>
          <w:szCs w:val="32"/>
        </w:rPr>
        <w:t>30</w:t>
      </w:r>
      <w:r>
        <w:rPr>
          <w:rFonts w:hint="eastAsia" w:ascii="仿宋" w:hAnsi="仿宋" w:eastAsia="仿宋" w:cs="仿宋"/>
          <w:color w:val="000000"/>
          <w:sz w:val="32"/>
          <w:szCs w:val="32"/>
        </w:rPr>
        <w:t>℃条件下，</w:t>
      </w:r>
      <w:r>
        <w:rPr>
          <w:rFonts w:ascii="仿宋" w:hAnsi="仿宋" w:eastAsia="仿宋" w:cs="仿宋"/>
          <w:color w:val="000000"/>
          <w:sz w:val="32"/>
          <w:szCs w:val="32"/>
        </w:rPr>
        <w:t>0.9%</w:t>
      </w:r>
      <w:r>
        <w:rPr>
          <w:rFonts w:hint="eastAsia" w:ascii="仿宋" w:hAnsi="仿宋" w:eastAsia="仿宋" w:cs="仿宋"/>
          <w:color w:val="000000"/>
          <w:sz w:val="32"/>
          <w:szCs w:val="32"/>
        </w:rPr>
        <w:t>的氯化钠溶液中，贝伐珠单抗在使用过程中的化学和物理稳定性可以保持</w:t>
      </w:r>
      <w:r>
        <w:rPr>
          <w:rFonts w:ascii="仿宋" w:hAnsi="仿宋" w:eastAsia="仿宋" w:cs="仿宋"/>
          <w:color w:val="000000"/>
          <w:sz w:val="32"/>
          <w:szCs w:val="32"/>
        </w:rPr>
        <w:t>48</w:t>
      </w:r>
      <w:r>
        <w:rPr>
          <w:rFonts w:hint="eastAsia" w:ascii="仿宋" w:hAnsi="仿宋" w:eastAsia="仿宋" w:cs="仿宋"/>
          <w:color w:val="000000"/>
          <w:sz w:val="32"/>
          <w:szCs w:val="32"/>
        </w:rPr>
        <w:t>个小时。产品在无菌条件下配制后在</w:t>
      </w: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ascii="仿宋" w:hAnsi="仿宋" w:eastAsia="仿宋" w:cs="仿宋"/>
          <w:color w:val="000000"/>
          <w:sz w:val="32"/>
          <w:szCs w:val="32"/>
        </w:rPr>
        <w:t>8</w:t>
      </w:r>
      <w:r>
        <w:rPr>
          <w:rFonts w:hint="eastAsia" w:ascii="仿宋" w:hAnsi="仿宋" w:eastAsia="仿宋" w:cs="仿宋"/>
          <w:color w:val="000000"/>
          <w:sz w:val="32"/>
          <w:szCs w:val="32"/>
        </w:rPr>
        <w:t>℃条件下的储存时间不宜超过</w:t>
      </w:r>
      <w:r>
        <w:rPr>
          <w:rFonts w:ascii="仿宋" w:hAnsi="仿宋" w:eastAsia="仿宋" w:cs="仿宋"/>
          <w:color w:val="000000"/>
          <w:sz w:val="32"/>
          <w:szCs w:val="32"/>
        </w:rPr>
        <w:t>24</w:t>
      </w:r>
      <w:r>
        <w:rPr>
          <w:rFonts w:hint="eastAsia" w:ascii="仿宋" w:hAnsi="仿宋" w:eastAsia="仿宋" w:cs="仿宋"/>
          <w:color w:val="000000"/>
          <w:sz w:val="32"/>
          <w:szCs w:val="32"/>
        </w:rPr>
        <w:t>小时。</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十四、呋喹替尼 F</w:t>
      </w:r>
      <w:r>
        <w:rPr>
          <w:rFonts w:ascii="黑体" w:hAnsi="黑体" w:eastAsia="黑体"/>
          <w:color w:val="000000"/>
          <w:sz w:val="32"/>
          <w:szCs w:val="32"/>
        </w:rPr>
        <w:t>ruquintinib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硬胶囊剂：1mg、5mg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：本品单药适用于既往接受过氟尿嘧啶类、奥沙利铂和伊立替康为基础的化疗，以及既往接受过或不适合接受VEGF治疗、EGFR治疗（RAS野生型）的转移性结直肠癌（mCRC）患者。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1.用药前无需进行基因检测。</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推荐剂量为每次5mg，每日一次；连续服药3周，随后停药1周（每4周为一个治疗周期）。持续按治疗周期服药，直至疾病进展或出现不可耐受的毒性。呋喹替尼可与食物同服或空腹口服，需整粒吞服。建议每日同一时段服药，如果服药后患者呕吐，无需补服；漏服剂量，不应在次日加服，应按常规服用下一次处方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中国人群常见的不良反应（发生率≥20%）为高血压、蛋白尿、手足皮肤反应、发声困难、出血、转氨酶升高、甲状腺功能检查异常、腹痛/腹部不适、口腔黏膜炎、疲乏/乏力、腹泻、感染、血胆红素升高以及食欲下降。目前尚未有药物性肝功能损伤的报告。</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4.严重活动性出血、活动性消化性溃疡、未愈合的胃肠穿孔、消化道瘘患者禁用。重度肝肾功能损伤患者禁用。妊娠、哺乳期妇女禁用。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5.对本品任何成分过敏者禁用。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6.目前尚无本品药物相互作用的临床资料。</w:t>
      </w:r>
    </w:p>
    <w:p>
      <w:pPr>
        <w:spacing w:line="360" w:lineRule="auto"/>
        <w:ind w:firstLine="883" w:firstLineChars="200"/>
        <w:jc w:val="center"/>
        <w:rPr>
          <w:rFonts w:hint="eastAsia" w:ascii="宋体" w:hAnsi="宋体" w:cs="宋体"/>
          <w:b/>
          <w:bCs/>
          <w:sz w:val="44"/>
          <w:szCs w:val="44"/>
        </w:rPr>
      </w:pPr>
    </w:p>
    <w:p>
      <w:pPr>
        <w:numPr>
          <w:ilvl w:val="0"/>
          <w:numId w:val="0"/>
        </w:numPr>
        <w:spacing w:line="360" w:lineRule="auto"/>
        <w:ind w:firstLine="560" w:firstLineChars="200"/>
        <w:jc w:val="both"/>
        <w:rPr>
          <w:rFonts w:hint="eastAsia" w:ascii="宋体" w:hAnsi="宋体" w:cs="宋体"/>
          <w:b w:val="0"/>
          <w:bCs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0709F"/>
    <w:rsid w:val="30177E8D"/>
    <w:rsid w:val="3AC253A5"/>
    <w:rsid w:val="4023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2021-01-11T00:48:00Z</dcterms:created>
  <dc:creator>李先洋</dc:creator>
  <cp:lastModifiedBy>Alexandra1391421310</cp:lastModifiedBy>
  <dcterms:modified xsi:type="dcterms:W3CDTF">2021-01-14T01:03:14Z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