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44"/>
          <w:szCs w:val="44"/>
        </w:rPr>
      </w:pPr>
      <w:bookmarkStart w:id="2" w:name="_GoBack"/>
      <w:bookmarkEnd w:id="2"/>
      <w:r>
        <w:rPr>
          <w:rFonts w:hint="eastAsia" w:ascii="宋体" w:hAnsi="宋体" w:cs="宋体"/>
          <w:b/>
          <w:bCs/>
          <w:sz w:val="44"/>
          <w:szCs w:val="44"/>
        </w:rPr>
        <w:t>第二部分　各系统肿瘤的药物临床</w:t>
      </w:r>
    </w:p>
    <w:p>
      <w:pPr>
        <w:spacing w:line="360" w:lineRule="auto"/>
        <w:ind w:firstLine="883" w:firstLineChars="200"/>
        <w:jc w:val="center"/>
        <w:rPr>
          <w:rFonts w:hint="eastAsia" w:ascii="宋体" w:hAnsi="宋体" w:cs="宋体"/>
          <w:b/>
          <w:bCs/>
          <w:sz w:val="44"/>
          <w:szCs w:val="44"/>
        </w:rPr>
      </w:pPr>
      <w:r>
        <w:rPr>
          <w:rFonts w:hint="eastAsia" w:ascii="宋体" w:hAnsi="宋体" w:cs="宋体"/>
          <w:b/>
          <w:bCs/>
          <w:sz w:val="44"/>
          <w:szCs w:val="44"/>
        </w:rPr>
        <w:t>应用指导原则</w:t>
      </w:r>
    </w:p>
    <w:p>
      <w:pPr>
        <w:spacing w:line="360" w:lineRule="auto"/>
        <w:ind w:firstLine="883" w:firstLineChars="200"/>
        <w:jc w:val="center"/>
        <w:rPr>
          <w:rFonts w:hint="eastAsia" w:ascii="宋体" w:hAnsi="宋体" w:cs="宋体"/>
          <w:b/>
          <w:bCs/>
          <w:sz w:val="44"/>
          <w:szCs w:val="44"/>
        </w:rPr>
      </w:pPr>
    </w:p>
    <w:p>
      <w:pPr>
        <w:widowControl/>
        <w:spacing w:line="360" w:lineRule="auto"/>
        <w:jc w:val="center"/>
        <w:rPr>
          <w:rFonts w:ascii="宋体" w:cs="Times New Roman"/>
          <w:b/>
          <w:bCs/>
          <w:sz w:val="44"/>
          <w:szCs w:val="44"/>
        </w:rPr>
      </w:pPr>
      <w:r>
        <w:rPr>
          <w:rFonts w:hint="eastAsia" w:ascii="宋体" w:hAnsi="宋体" w:cs="宋体"/>
          <w:b/>
          <w:bCs/>
          <w:sz w:val="44"/>
          <w:szCs w:val="44"/>
        </w:rPr>
        <w:t>血液肿瘤用药</w:t>
      </w:r>
    </w:p>
    <w:p>
      <w:pPr>
        <w:widowControl/>
        <w:spacing w:line="360" w:lineRule="auto"/>
        <w:jc w:val="center"/>
        <w:rPr>
          <w:rFonts w:ascii="仿宋" w:hAnsi="仿宋" w:eastAsia="仿宋" w:cs="Times New Roman"/>
          <w:b/>
          <w:bCs/>
          <w:sz w:val="32"/>
          <w:szCs w:val="32"/>
        </w:rPr>
      </w:pP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一、伊马替尼 I</w:t>
      </w:r>
      <w:r>
        <w:rPr>
          <w:rFonts w:ascii="黑体" w:hAnsi="黑体" w:eastAsia="黑体" w:cs="黑体"/>
          <w:sz w:val="32"/>
          <w:szCs w:val="32"/>
        </w:rPr>
        <w:t>matinib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）片剂：</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400mg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）胶囊：</w:t>
      </w:r>
      <w:r>
        <w:rPr>
          <w:rFonts w:ascii="仿宋" w:hAnsi="仿宋" w:eastAsia="仿宋" w:cs="仿宋"/>
          <w:sz w:val="32"/>
          <w:szCs w:val="32"/>
        </w:rPr>
        <w:t>50mg</w:t>
      </w:r>
      <w:r>
        <w:rPr>
          <w:rFonts w:hint="eastAsia" w:ascii="仿宋" w:hAnsi="仿宋" w:eastAsia="仿宋" w:cs="仿宋"/>
          <w:sz w:val="32"/>
          <w:szCs w:val="32"/>
        </w:rPr>
        <w:t>、</w:t>
      </w:r>
      <w:r>
        <w:rPr>
          <w:rFonts w:ascii="仿宋" w:hAnsi="仿宋" w:eastAsia="仿宋" w:cs="仿宋"/>
          <w:sz w:val="32"/>
          <w:szCs w:val="32"/>
        </w:rPr>
        <w:t>100mg</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用于治疗费城染色体阳性的慢性髓性白血病（</w:t>
      </w:r>
      <w:r>
        <w:rPr>
          <w:rFonts w:ascii="仿宋" w:hAnsi="仿宋" w:eastAsia="仿宋" w:cs="仿宋"/>
          <w:sz w:val="32"/>
          <w:szCs w:val="32"/>
        </w:rPr>
        <w:t>Ph+CML</w:t>
      </w:r>
      <w:r>
        <w:rPr>
          <w:rFonts w:hint="eastAsia" w:ascii="仿宋" w:hAnsi="仿宋" w:eastAsia="仿宋" w:cs="仿宋"/>
          <w:sz w:val="32"/>
          <w:szCs w:val="32"/>
        </w:rPr>
        <w:t>）的慢性期、加速期或急变期；联合化疗治疗新诊断的费城染色体阳性的急性淋巴细胞白血病（</w:t>
      </w:r>
      <w:r>
        <w:rPr>
          <w:rFonts w:ascii="仿宋" w:hAnsi="仿宋" w:eastAsia="仿宋" w:cs="仿宋"/>
          <w:sz w:val="32"/>
          <w:szCs w:val="32"/>
        </w:rPr>
        <w:t>Ph+ALL</w:t>
      </w:r>
      <w:r>
        <w:rPr>
          <w:rFonts w:hint="eastAsia" w:ascii="仿宋" w:hAnsi="仿宋" w:eastAsia="仿宋" w:cs="仿宋"/>
          <w:sz w:val="32"/>
          <w:szCs w:val="32"/>
        </w:rPr>
        <w:t>）的儿童患者；用于治疗复发的或难治的费城染色体阳性的急性淋巴细胞白血病（</w:t>
      </w:r>
      <w:r>
        <w:rPr>
          <w:rFonts w:ascii="仿宋" w:hAnsi="仿宋" w:eastAsia="仿宋" w:cs="仿宋"/>
          <w:sz w:val="32"/>
          <w:szCs w:val="32"/>
        </w:rPr>
        <w:t>Ph+ALL</w:t>
      </w:r>
      <w:r>
        <w:rPr>
          <w:rFonts w:hint="eastAsia" w:ascii="仿宋" w:hAnsi="仿宋" w:eastAsia="仿宋" w:cs="仿宋"/>
          <w:sz w:val="32"/>
          <w:szCs w:val="32"/>
        </w:rPr>
        <w:t>）的成人患者；用于治疗嗜酸粒细胞增多综合征（</w:t>
      </w:r>
      <w:r>
        <w:rPr>
          <w:rFonts w:ascii="仿宋" w:hAnsi="仿宋" w:eastAsia="仿宋" w:cs="仿宋"/>
          <w:sz w:val="32"/>
          <w:szCs w:val="32"/>
        </w:rPr>
        <w:t>HES</w:t>
      </w:r>
      <w:r>
        <w:rPr>
          <w:rFonts w:hint="eastAsia" w:ascii="仿宋" w:hAnsi="仿宋" w:eastAsia="仿宋" w:cs="仿宋"/>
          <w:sz w:val="32"/>
          <w:szCs w:val="32"/>
        </w:rPr>
        <w:t>）和</w:t>
      </w:r>
      <w:r>
        <w:rPr>
          <w:rFonts w:ascii="仿宋" w:hAnsi="仿宋" w:eastAsia="仿宋" w:cs="仿宋"/>
          <w:sz w:val="32"/>
          <w:szCs w:val="32"/>
        </w:rPr>
        <w:t>/</w:t>
      </w:r>
      <w:r>
        <w:rPr>
          <w:rFonts w:hint="eastAsia" w:ascii="仿宋" w:hAnsi="仿宋" w:eastAsia="仿宋" w:cs="仿宋"/>
          <w:sz w:val="32"/>
          <w:szCs w:val="32"/>
        </w:rPr>
        <w:t>或慢性嗜酸粒细胞白血病（</w:t>
      </w:r>
      <w:r>
        <w:rPr>
          <w:rFonts w:ascii="仿宋" w:hAnsi="仿宋" w:eastAsia="仿宋" w:cs="仿宋"/>
          <w:sz w:val="32"/>
          <w:szCs w:val="32"/>
        </w:rPr>
        <w:t>CEL</w:t>
      </w:r>
      <w:r>
        <w:rPr>
          <w:rFonts w:hint="eastAsia" w:ascii="仿宋" w:hAnsi="仿宋" w:eastAsia="仿宋" w:cs="仿宋"/>
          <w:sz w:val="32"/>
          <w:szCs w:val="32"/>
        </w:rPr>
        <w:t>）伴有</w:t>
      </w:r>
      <w:r>
        <w:rPr>
          <w:rFonts w:ascii="仿宋" w:hAnsi="仿宋" w:eastAsia="仿宋" w:cs="仿宋"/>
          <w:sz w:val="32"/>
          <w:szCs w:val="32"/>
        </w:rPr>
        <w:t>FIP1L1-PDGFR</w:t>
      </w:r>
      <w:r>
        <w:rPr>
          <w:rFonts w:hint="eastAsia" w:ascii="仿宋" w:hAnsi="仿宋" w:eastAsia="仿宋" w:cs="仿宋"/>
          <w:sz w:val="32"/>
          <w:szCs w:val="32"/>
        </w:rPr>
        <w:t>α融合基因的成年患者；用于治疗骨髓增生异常综合征</w:t>
      </w:r>
      <w:r>
        <w:rPr>
          <w:rFonts w:ascii="仿宋" w:hAnsi="仿宋" w:eastAsia="仿宋" w:cs="仿宋"/>
          <w:sz w:val="32"/>
          <w:szCs w:val="32"/>
        </w:rPr>
        <w:t>/</w:t>
      </w:r>
      <w:r>
        <w:rPr>
          <w:rFonts w:hint="eastAsia" w:ascii="仿宋" w:hAnsi="仿宋" w:eastAsia="仿宋" w:cs="仿宋"/>
          <w:sz w:val="32"/>
          <w:szCs w:val="32"/>
        </w:rPr>
        <w:t>骨髓增殖性疾病（</w:t>
      </w:r>
      <w:r>
        <w:rPr>
          <w:rFonts w:ascii="仿宋" w:hAnsi="仿宋" w:eastAsia="仿宋" w:cs="仿宋"/>
          <w:sz w:val="32"/>
          <w:szCs w:val="32"/>
        </w:rPr>
        <w:t>MDS/MPD</w:t>
      </w:r>
      <w:r>
        <w:rPr>
          <w:rFonts w:hint="eastAsia" w:ascii="仿宋" w:hAnsi="仿宋" w:eastAsia="仿宋" w:cs="仿宋"/>
          <w:sz w:val="32"/>
          <w:szCs w:val="32"/>
        </w:rPr>
        <w:t>）伴有血小板衍生生长因子受体（</w:t>
      </w:r>
      <w:r>
        <w:rPr>
          <w:rFonts w:ascii="仿宋" w:hAnsi="仿宋" w:eastAsia="仿宋" w:cs="仿宋"/>
          <w:sz w:val="32"/>
          <w:szCs w:val="32"/>
        </w:rPr>
        <w:t>PDGFR</w:t>
      </w:r>
      <w:r>
        <w:rPr>
          <w:rFonts w:hint="eastAsia" w:ascii="仿宋" w:hAnsi="仿宋" w:eastAsia="仿宋" w:cs="仿宋"/>
          <w:sz w:val="32"/>
          <w:szCs w:val="32"/>
        </w:rPr>
        <w:t>）基因重排的成年患者。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highlight w:val="yellow"/>
        </w:rPr>
        <w:t>用药前必须明确诊断费城染色体阳性或</w:t>
      </w:r>
      <w:r>
        <w:rPr>
          <w:rFonts w:ascii="仿宋" w:hAnsi="仿宋" w:eastAsia="仿宋" w:cs="仿宋"/>
          <w:sz w:val="32"/>
          <w:szCs w:val="32"/>
          <w:highlight w:val="yellow"/>
        </w:rPr>
        <w:t>BCR-ABL</w:t>
      </w:r>
      <w:r>
        <w:rPr>
          <w:rFonts w:hint="eastAsia" w:ascii="仿宋" w:hAnsi="仿宋" w:eastAsia="仿宋" w:cs="仿宋"/>
          <w:sz w:val="32"/>
          <w:szCs w:val="32"/>
          <w:highlight w:val="yellow"/>
        </w:rPr>
        <w:t>阳性的慢性髓性白血病或急性淋巴细胞白血病，或伴有</w:t>
      </w:r>
      <w:r>
        <w:rPr>
          <w:rFonts w:ascii="仿宋" w:hAnsi="仿宋" w:eastAsia="仿宋" w:cs="仿宋"/>
          <w:sz w:val="32"/>
          <w:szCs w:val="32"/>
          <w:highlight w:val="yellow"/>
        </w:rPr>
        <w:t>PDGFR</w:t>
      </w:r>
      <w:r>
        <w:rPr>
          <w:rFonts w:hint="eastAsia" w:ascii="仿宋" w:hAnsi="仿宋" w:eastAsia="仿宋" w:cs="仿宋"/>
          <w:sz w:val="32"/>
          <w:szCs w:val="32"/>
          <w:highlight w:val="yellow"/>
        </w:rPr>
        <w:t>基因重排的髓系增殖性肿瘤</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应当按照相关疾病指南，治疗前做基线评估，治疗期间定期监测血液学、细胞遗传学和分子生物学反应。</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根据不同疾病种类和分期，选择初始治疗剂量，治疗中根据疗效和不良反应调整剂量。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常见不良事件（＞</w:t>
      </w:r>
      <w:r>
        <w:rPr>
          <w:rFonts w:ascii="仿宋" w:hAnsi="仿宋" w:eastAsia="仿宋" w:cs="仿宋"/>
          <w:sz w:val="32"/>
          <w:szCs w:val="32"/>
        </w:rPr>
        <w:t>10%</w:t>
      </w:r>
      <w:r>
        <w:rPr>
          <w:rFonts w:hint="eastAsia" w:ascii="仿宋" w:hAnsi="仿宋" w:eastAsia="仿宋" w:cs="仿宋"/>
          <w:sz w:val="32"/>
          <w:szCs w:val="32"/>
        </w:rPr>
        <w:t>）为中性粒细胞减少、血小板减少、贫血、头痛、消化不良、水肿、体重增加、恶心、呕吐、肌肉痉挛、肌肉骨骼痛、腹泻、皮疹、疲劳和腹痛。</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治疗期间因毒性不可耐受或耐药时，可选择二代药物替换。</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伊马替尼用于成人初治</w:t>
      </w:r>
      <w:r>
        <w:rPr>
          <w:rFonts w:ascii="仿宋" w:hAnsi="仿宋" w:eastAsia="仿宋" w:cs="仿宋"/>
          <w:sz w:val="32"/>
          <w:szCs w:val="32"/>
        </w:rPr>
        <w:t>Ph+</w:t>
      </w:r>
      <w:r>
        <w:rPr>
          <w:rFonts w:hint="eastAsia" w:ascii="仿宋" w:hAnsi="仿宋" w:eastAsia="仿宋" w:cs="仿宋"/>
          <w:sz w:val="32"/>
          <w:szCs w:val="32"/>
        </w:rPr>
        <w:t>急性淋巴细胞白血病（全球其他国家已批准的适应证）。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7.本品是CYP3A4的底物，同时给予CYP3A4诱导剂后伊马替尼的血浆浓度降低，从而导致疗效减低，应避免伊马替尼与CYP3A4诱导剂同时服用。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8.伊马替尼应在进餐时服用，并饮一大杯水。使用胶囊剂型时，对于不能吞咽胶囊的患者（包括儿童），可以将胶囊内药物分散于水或苹果汁中。使用片剂时，可以将药片分散于不含气体的水或苹果汁中(100mg片约用50ml，400mg约用200ml)。应搅拌混悬液，一旦药片崩解完全应立即服用。（2）如果接受伊马替尼治疗过程中出现严重非血液学不良反应（如严重体液潴留），应停药，直到不良反应消失，然后再根据该不良反应的严重程度调整剂量。（3）对于3岁以上儿童使用伊马替尼的研究，主要来自国外儿童研究数据，中国儿童人群用药安全有效性数据有限。尚无3岁以下儿童用药经验。（4）已有报告显示接受伊马替尼的儿童和青春前期青少年出现发育迟缓。暂不知伊马替尼延长治疗对儿童发育的长期影响。因此，建议对使用伊马替尼的儿童的发育情况进行密切监测。</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二、达沙替尼 D</w:t>
      </w:r>
      <w:r>
        <w:rPr>
          <w:rFonts w:ascii="黑体" w:hAnsi="黑体" w:eastAsia="黑体" w:cs="黑体"/>
          <w:sz w:val="32"/>
          <w:szCs w:val="32"/>
        </w:rPr>
        <w:t>asatinib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20mg</w:t>
      </w:r>
      <w:r>
        <w:rPr>
          <w:rFonts w:hint="eastAsia" w:ascii="仿宋" w:hAnsi="仿宋" w:eastAsia="仿宋" w:cs="仿宋"/>
          <w:sz w:val="32"/>
          <w:szCs w:val="32"/>
        </w:rPr>
        <w:t>、</w:t>
      </w:r>
      <w:r>
        <w:rPr>
          <w:rFonts w:ascii="仿宋" w:hAnsi="仿宋" w:eastAsia="仿宋" w:cs="仿宋"/>
          <w:sz w:val="32"/>
          <w:szCs w:val="32"/>
        </w:rPr>
        <w:t>50mg</w:t>
      </w:r>
      <w:r>
        <w:rPr>
          <w:rFonts w:hint="eastAsia" w:ascii="仿宋" w:hAnsi="仿宋" w:eastAsia="仿宋" w:cs="仿宋"/>
          <w:sz w:val="32"/>
          <w:szCs w:val="32"/>
        </w:rPr>
        <w:t>、</w:t>
      </w:r>
      <w:r>
        <w:rPr>
          <w:rFonts w:ascii="仿宋" w:hAnsi="仿宋" w:eastAsia="仿宋" w:cs="仿宋"/>
          <w:sz w:val="32"/>
          <w:szCs w:val="32"/>
        </w:rPr>
        <w:t>70mg</w:t>
      </w:r>
      <w:r>
        <w:rPr>
          <w:rFonts w:hint="eastAsia" w:ascii="仿宋" w:hAnsi="仿宋" w:eastAsia="仿宋" w:cs="仿宋"/>
          <w:sz w:val="32"/>
          <w:szCs w:val="32"/>
        </w:rPr>
        <w:t>、</w:t>
      </w:r>
      <w:r>
        <w:rPr>
          <w:rFonts w:ascii="仿宋" w:hAnsi="仿宋" w:eastAsia="仿宋" w:cs="仿宋"/>
          <w:sz w:val="32"/>
          <w:szCs w:val="32"/>
        </w:rPr>
        <w:t>100mg</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对伊马替尼耐药，或不耐受的费城染色体阳性慢性髓细胞白血病慢性期、加速期和急变期（急粒变和急淋变）成年患者。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highlight w:val="yellow"/>
        </w:rPr>
        <w:t>用药前必须明确诊断费城染色体阳性或</w:t>
      </w:r>
      <w:r>
        <w:rPr>
          <w:rFonts w:ascii="仿宋" w:hAnsi="仿宋" w:eastAsia="仿宋" w:cs="仿宋"/>
          <w:sz w:val="32"/>
          <w:szCs w:val="32"/>
          <w:highlight w:val="yellow"/>
        </w:rPr>
        <w:t>BCR-ABL</w:t>
      </w:r>
      <w:r>
        <w:rPr>
          <w:rFonts w:hint="eastAsia" w:ascii="仿宋" w:hAnsi="仿宋" w:eastAsia="仿宋" w:cs="仿宋"/>
          <w:sz w:val="32"/>
          <w:szCs w:val="32"/>
          <w:highlight w:val="yellow"/>
        </w:rPr>
        <w:t>阳性的慢性髓性白血病或急性淋巴细胞白血病</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highlight w:val="yellow"/>
        </w:rPr>
        <w:t>应该按照相关疾病指南，治疗前做基线（包括</w:t>
      </w:r>
      <w:r>
        <w:rPr>
          <w:rFonts w:ascii="仿宋" w:hAnsi="仿宋" w:eastAsia="仿宋" w:cs="仿宋"/>
          <w:sz w:val="32"/>
          <w:szCs w:val="32"/>
          <w:highlight w:val="yellow"/>
        </w:rPr>
        <w:t>BCR-ABL</w:t>
      </w:r>
      <w:r>
        <w:rPr>
          <w:rFonts w:hint="eastAsia" w:ascii="仿宋" w:hAnsi="仿宋" w:eastAsia="仿宋" w:cs="仿宋"/>
          <w:sz w:val="32"/>
          <w:szCs w:val="32"/>
          <w:highlight w:val="yellow"/>
        </w:rPr>
        <w:t>突变）评估，治疗期间定期监测血液学、细胞遗传学和分子学反应</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根据不同疾病种类和分期，选择初始治疗剂量，治疗中根据疗效和不良反应调整剂量。</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常见不良事件为中性粒细胞减少、血小板减少、贫血、胸腔积液、头痛、腹泻、疲劳等，少数有肺动脉高压。</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本品是</w:t>
      </w:r>
      <w:r>
        <w:rPr>
          <w:rFonts w:ascii="仿宋" w:hAnsi="仿宋" w:eastAsia="仿宋" w:cs="仿宋"/>
          <w:sz w:val="32"/>
          <w:szCs w:val="32"/>
        </w:rPr>
        <w:t>CYP3A4</w:t>
      </w:r>
      <w:r>
        <w:rPr>
          <w:rFonts w:hint="eastAsia" w:ascii="仿宋" w:hAnsi="仿宋" w:eastAsia="仿宋" w:cs="仿宋"/>
          <w:sz w:val="32"/>
          <w:szCs w:val="32"/>
        </w:rPr>
        <w:t>的底物，不推荐联合强效的</w:t>
      </w:r>
      <w:r>
        <w:rPr>
          <w:rFonts w:ascii="仿宋" w:hAnsi="仿宋" w:eastAsia="仿宋" w:cs="仿宋"/>
          <w:sz w:val="32"/>
          <w:szCs w:val="32"/>
        </w:rPr>
        <w:t>CYP3A4</w:t>
      </w:r>
      <w:r>
        <w:rPr>
          <w:rFonts w:hint="eastAsia" w:ascii="仿宋" w:hAnsi="仿宋" w:eastAsia="仿宋" w:cs="仿宋"/>
          <w:sz w:val="32"/>
          <w:szCs w:val="32"/>
        </w:rPr>
        <w:t>抑制剂。如果无法避免合并用药，则应对毒性反应进行密切监测。</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达沙替尼用于成人</w:t>
      </w:r>
      <w:r>
        <w:rPr>
          <w:rFonts w:ascii="仿宋" w:hAnsi="仿宋" w:eastAsia="仿宋" w:cs="仿宋"/>
          <w:sz w:val="32"/>
          <w:szCs w:val="32"/>
        </w:rPr>
        <w:t>Ph+</w:t>
      </w:r>
      <w:r>
        <w:rPr>
          <w:rFonts w:hint="eastAsia" w:ascii="仿宋" w:hAnsi="仿宋" w:eastAsia="仿宋" w:cs="仿宋"/>
          <w:sz w:val="32"/>
          <w:szCs w:val="32"/>
        </w:rPr>
        <w:t>急性淋巴细胞白血病（FDA已批准）。</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三、尼洛替尼 N</w:t>
      </w:r>
      <w:r>
        <w:rPr>
          <w:rFonts w:ascii="黑体" w:hAnsi="黑体" w:eastAsia="黑体" w:cs="黑体"/>
          <w:sz w:val="32"/>
          <w:szCs w:val="32"/>
        </w:rPr>
        <w:t>ilotinib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150mg</w:t>
      </w:r>
      <w:r>
        <w:rPr>
          <w:rFonts w:hint="eastAsia" w:ascii="仿宋" w:hAnsi="仿宋" w:eastAsia="仿宋" w:cs="仿宋"/>
          <w:sz w:val="32"/>
          <w:szCs w:val="32"/>
        </w:rPr>
        <w:t>、</w:t>
      </w:r>
      <w:r>
        <w:rPr>
          <w:rFonts w:ascii="仿宋" w:hAnsi="仿宋" w:eastAsia="仿宋" w:cs="仿宋"/>
          <w:sz w:val="32"/>
          <w:szCs w:val="32"/>
        </w:rPr>
        <w:t xml:space="preserve">200mg </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新诊断的费城染色体阳性的慢性髓性白血病（</w:t>
      </w:r>
      <w:r>
        <w:rPr>
          <w:rFonts w:ascii="仿宋" w:hAnsi="仿宋" w:eastAsia="仿宋" w:cs="仿宋"/>
          <w:sz w:val="32"/>
          <w:szCs w:val="32"/>
        </w:rPr>
        <w:t>Ph+CML</w:t>
      </w:r>
      <w:r>
        <w:rPr>
          <w:rFonts w:hint="eastAsia" w:ascii="仿宋" w:hAnsi="仿宋" w:eastAsia="仿宋" w:cs="仿宋"/>
          <w:sz w:val="32"/>
          <w:szCs w:val="32"/>
        </w:rPr>
        <w:t>）慢性期成人患者。</w:t>
      </w:r>
    </w:p>
    <w:p>
      <w:pPr>
        <w:spacing w:line="360" w:lineRule="auto"/>
        <w:ind w:firstLine="640" w:firstLineChars="200"/>
        <w:rPr>
          <w:rFonts w:ascii="仿宋" w:hAnsi="仿宋" w:eastAsia="仿宋" w:cs="Times New Roman"/>
          <w:b/>
          <w:bCs/>
          <w:sz w:val="32"/>
          <w:szCs w:val="32"/>
        </w:rPr>
      </w:pPr>
      <w:r>
        <w:rPr>
          <w:rFonts w:ascii="仿宋" w:hAnsi="仿宋" w:eastAsia="仿宋" w:cs="仿宋"/>
          <w:sz w:val="32"/>
          <w:szCs w:val="32"/>
        </w:rPr>
        <w:t>2.</w:t>
      </w:r>
      <w:r>
        <w:rPr>
          <w:rFonts w:hint="eastAsia" w:ascii="仿宋" w:hAnsi="仿宋" w:eastAsia="仿宋" w:cs="仿宋"/>
          <w:sz w:val="32"/>
          <w:szCs w:val="32"/>
        </w:rPr>
        <w:t>对既往治疗（包括伊马替尼）耐药或不耐受的费城染色体阳性的</w:t>
      </w:r>
      <w:r>
        <w:rPr>
          <w:rFonts w:ascii="仿宋" w:hAnsi="仿宋" w:eastAsia="仿宋" w:cs="仿宋"/>
          <w:sz w:val="32"/>
          <w:szCs w:val="32"/>
        </w:rPr>
        <w:t>Ph+CML</w:t>
      </w:r>
      <w:r>
        <w:rPr>
          <w:rFonts w:hint="eastAsia" w:ascii="仿宋" w:hAnsi="仿宋" w:eastAsia="仿宋" w:cs="仿宋"/>
          <w:sz w:val="32"/>
          <w:szCs w:val="32"/>
        </w:rPr>
        <w:t>慢性期或加速期成人患者。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尼洛替尼不可用于低血钾、低血镁或长</w:t>
      </w:r>
      <w:r>
        <w:rPr>
          <w:rFonts w:ascii="仿宋" w:hAnsi="仿宋" w:eastAsia="仿宋" w:cs="仿宋"/>
          <w:sz w:val="32"/>
          <w:szCs w:val="32"/>
        </w:rPr>
        <w:t>QT</w:t>
      </w:r>
      <w:r>
        <w:rPr>
          <w:rFonts w:hint="eastAsia" w:ascii="仿宋" w:hAnsi="仿宋" w:eastAsia="仿宋" w:cs="仿宋"/>
          <w:sz w:val="32"/>
          <w:szCs w:val="32"/>
        </w:rPr>
        <w:t>综合征的患者。在使用尼洛替尼以前必须纠正低钾和低镁，并定期进行监测。</w:t>
      </w:r>
    </w:p>
    <w:p>
      <w:pPr>
        <w:spacing w:line="360" w:lineRule="auto"/>
        <w:ind w:firstLine="640" w:firstLineChars="200"/>
        <w:rPr>
          <w:rFonts w:ascii="仿宋" w:hAnsi="仿宋" w:eastAsia="仿宋" w:cs="Times New Roman"/>
          <w:b/>
          <w:bCs/>
          <w:sz w:val="32"/>
          <w:szCs w:val="32"/>
        </w:rPr>
      </w:pPr>
      <w:r>
        <w:rPr>
          <w:rFonts w:hint="eastAsia" w:ascii="仿宋" w:hAnsi="仿宋" w:eastAsia="仿宋" w:cs="Times New Roman"/>
          <w:sz w:val="32"/>
          <w:szCs w:val="32"/>
        </w:rPr>
        <w:t>2.</w:t>
      </w:r>
      <w:r>
        <w:rPr>
          <w:rFonts w:hint="eastAsia" w:ascii="仿宋" w:hAnsi="仿宋" w:eastAsia="仿宋" w:cs="仿宋"/>
          <w:sz w:val="32"/>
          <w:szCs w:val="32"/>
        </w:rPr>
        <w:t>常见不良事件为中性粒细胞减少、血小板减少、贫血、食欲减退、皮疹、肌肉关节痛等。</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避免联合可延长</w:t>
      </w:r>
      <w:r>
        <w:rPr>
          <w:rFonts w:ascii="仿宋" w:hAnsi="仿宋" w:eastAsia="仿宋" w:cs="仿宋"/>
          <w:sz w:val="32"/>
          <w:szCs w:val="32"/>
        </w:rPr>
        <w:t>QT</w:t>
      </w:r>
      <w:r>
        <w:rPr>
          <w:rFonts w:hint="eastAsia" w:ascii="仿宋" w:hAnsi="仿宋" w:eastAsia="仿宋" w:cs="仿宋"/>
          <w:sz w:val="32"/>
          <w:szCs w:val="32"/>
        </w:rPr>
        <w:t>间期的药物和</w:t>
      </w:r>
      <w:r>
        <w:rPr>
          <w:rFonts w:ascii="仿宋" w:hAnsi="仿宋" w:eastAsia="仿宋" w:cs="仿宋"/>
          <w:sz w:val="32"/>
          <w:szCs w:val="32"/>
        </w:rPr>
        <w:t>CYP3A4</w:t>
      </w:r>
      <w:r>
        <w:rPr>
          <w:rFonts w:hint="eastAsia" w:ascii="仿宋" w:hAnsi="仿宋" w:eastAsia="仿宋" w:cs="仿宋"/>
          <w:sz w:val="32"/>
          <w:szCs w:val="32"/>
        </w:rPr>
        <w:t>的强效抑制剂。</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有肝功能损伤的患者建议减量。</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在开始给药前、给药过程中、给药后均应定期进行心电图检查以监测</w:t>
      </w:r>
      <w:r>
        <w:rPr>
          <w:rFonts w:ascii="仿宋" w:hAnsi="仿宋" w:eastAsia="仿宋" w:cs="仿宋"/>
          <w:sz w:val="32"/>
          <w:szCs w:val="32"/>
        </w:rPr>
        <w:t>QTc</w:t>
      </w:r>
      <w:r>
        <w:rPr>
          <w:rFonts w:hint="eastAsia" w:ascii="仿宋" w:hAnsi="仿宋" w:eastAsia="仿宋" w:cs="仿宋"/>
          <w:sz w:val="32"/>
          <w:szCs w:val="32"/>
        </w:rPr>
        <w:t>，并且在任何进行剂量调整时也应如此。</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四、伊布替尼 I</w:t>
      </w:r>
      <w:r>
        <w:rPr>
          <w:rFonts w:ascii="黑体" w:hAnsi="黑体" w:eastAsia="黑体" w:cs="黑体"/>
          <w:sz w:val="32"/>
          <w:szCs w:val="32"/>
        </w:rPr>
        <w:t>brutinib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胶囊：</w:t>
      </w:r>
      <w:r>
        <w:rPr>
          <w:rFonts w:ascii="仿宋" w:hAnsi="仿宋" w:eastAsia="仿宋" w:cs="仿宋"/>
          <w:sz w:val="32"/>
          <w:szCs w:val="32"/>
        </w:rPr>
        <w:t xml:space="preserve">140mg </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单药适用于既往至少接受过一种治疗的套细胞淋巴瘤患者的治疗。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单药治疗初治及复发的慢性淋巴细胞白血病</w:t>
      </w:r>
      <w:r>
        <w:rPr>
          <w:rFonts w:ascii="仿宋" w:hAnsi="仿宋" w:eastAsia="仿宋" w:cs="仿宋"/>
          <w:sz w:val="32"/>
          <w:szCs w:val="32"/>
        </w:rPr>
        <w:t>/</w:t>
      </w:r>
      <w:r>
        <w:rPr>
          <w:rFonts w:hint="eastAsia" w:ascii="仿宋" w:hAnsi="仿宋" w:eastAsia="仿宋" w:cs="仿宋"/>
          <w:sz w:val="32"/>
          <w:szCs w:val="32"/>
        </w:rPr>
        <w:t>小淋巴细胞淋巴瘤患者的治疗。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单药或与利妥昔单抗联合治疗初治及复发的华氏巨球蛋白血症。</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伊布替尼用于CLL治疗前，应进行严格临床评估，如果患者有明确del(17p)，选BTK抑制剂治疗。</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2.用药前必须明确诊断套细胞淋巴瘤或慢性淋巴细胞白血病或华氏巨球蛋白血症，根据诊断不同，治疗剂量不同。</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应该按照相关疾病指南，治疗前做基线评估，治疗期间定期监测治疗反应及毒性。</w:t>
      </w:r>
    </w:p>
    <w:p>
      <w:pPr>
        <w:spacing w:line="360" w:lineRule="auto"/>
        <w:ind w:firstLine="640" w:firstLineChars="200"/>
        <w:rPr>
          <w:rFonts w:ascii="仿宋" w:hAnsi="仿宋" w:eastAsia="仿宋" w:cs="Times New Roman"/>
          <w:color w:val="000000"/>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治疗</w:t>
      </w:r>
      <w:r>
        <w:rPr>
          <w:rFonts w:ascii="仿宋" w:hAnsi="仿宋" w:eastAsia="仿宋" w:cs="仿宋"/>
          <w:sz w:val="32"/>
          <w:szCs w:val="32"/>
        </w:rPr>
        <w:t>MCL</w:t>
      </w:r>
      <w:r>
        <w:rPr>
          <w:rFonts w:hint="eastAsia" w:ascii="仿宋" w:hAnsi="仿宋" w:eastAsia="仿宋" w:cs="仿宋"/>
          <w:sz w:val="32"/>
          <w:szCs w:val="32"/>
        </w:rPr>
        <w:t>的推荐剂量为</w:t>
      </w:r>
      <w:r>
        <w:rPr>
          <w:rFonts w:ascii="仿宋" w:hAnsi="仿宋" w:eastAsia="仿宋" w:cs="仿宋"/>
          <w:sz w:val="32"/>
          <w:szCs w:val="32"/>
        </w:rPr>
        <w:t>560mg</w:t>
      </w:r>
      <w:r>
        <w:rPr>
          <w:rFonts w:hint="eastAsia" w:ascii="仿宋" w:hAnsi="仿宋" w:eastAsia="仿宋" w:cs="仿宋"/>
          <w:sz w:val="32"/>
          <w:szCs w:val="32"/>
        </w:rPr>
        <w:t>，每日一次直至疾病进展或出现不可接受的毒性；</w:t>
      </w:r>
      <w:r>
        <w:rPr>
          <w:rFonts w:hint="eastAsia" w:ascii="仿宋" w:hAnsi="仿宋" w:eastAsia="仿宋" w:cs="仿宋"/>
          <w:color w:val="000000"/>
          <w:sz w:val="32"/>
          <w:szCs w:val="32"/>
        </w:rPr>
        <w:t>治疗</w:t>
      </w:r>
      <w:r>
        <w:rPr>
          <w:rFonts w:ascii="仿宋" w:hAnsi="仿宋" w:eastAsia="仿宋" w:cs="仿宋"/>
          <w:color w:val="000000"/>
          <w:sz w:val="32"/>
          <w:szCs w:val="32"/>
        </w:rPr>
        <w:t>CLL/SLL</w:t>
      </w:r>
      <w:r>
        <w:rPr>
          <w:rFonts w:hint="eastAsia" w:ascii="仿宋" w:hAnsi="仿宋" w:eastAsia="仿宋" w:cs="仿宋"/>
          <w:color w:val="000000"/>
          <w:sz w:val="32"/>
          <w:szCs w:val="32"/>
        </w:rPr>
        <w:t>和</w:t>
      </w:r>
      <w:r>
        <w:rPr>
          <w:rFonts w:hint="eastAsia" w:ascii="仿宋" w:hAnsi="仿宋" w:eastAsia="仿宋" w:cs="仿宋"/>
          <w:sz w:val="32"/>
          <w:szCs w:val="32"/>
        </w:rPr>
        <w:t>华氏巨球蛋白血症</w:t>
      </w:r>
      <w:r>
        <w:rPr>
          <w:rFonts w:hint="eastAsia" w:ascii="仿宋" w:hAnsi="仿宋" w:eastAsia="仿宋" w:cs="仿宋"/>
          <w:color w:val="000000"/>
          <w:sz w:val="32"/>
          <w:szCs w:val="32"/>
        </w:rPr>
        <w:t>的推荐剂量为</w:t>
      </w:r>
      <w:r>
        <w:rPr>
          <w:rFonts w:ascii="仿宋" w:hAnsi="仿宋" w:eastAsia="仿宋" w:cs="仿宋"/>
          <w:color w:val="000000"/>
          <w:sz w:val="32"/>
          <w:szCs w:val="32"/>
        </w:rPr>
        <w:t>420mg</w:t>
      </w:r>
      <w:r>
        <w:rPr>
          <w:rFonts w:hint="eastAsia" w:ascii="仿宋" w:hAnsi="仿宋" w:eastAsia="仿宋" w:cs="仿宋"/>
          <w:color w:val="000000"/>
          <w:sz w:val="32"/>
          <w:szCs w:val="32"/>
        </w:rPr>
        <w:t>，每日一次直至疾病进展或出现不可接受的毒性。</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color w:val="000000"/>
          <w:sz w:val="32"/>
          <w:szCs w:val="32"/>
        </w:rPr>
        <w:t>轻度肝功能损伤患者的推荐剂量是每天</w:t>
      </w:r>
      <w:r>
        <w:rPr>
          <w:rFonts w:ascii="仿宋" w:hAnsi="仿宋" w:eastAsia="仿宋" w:cs="仿宋"/>
          <w:color w:val="000000"/>
          <w:sz w:val="32"/>
          <w:szCs w:val="32"/>
        </w:rPr>
        <w:t>140mg</w:t>
      </w:r>
      <w:r>
        <w:rPr>
          <w:rFonts w:hint="eastAsia" w:ascii="仿宋" w:hAnsi="仿宋" w:eastAsia="仿宋" w:cs="仿宋"/>
          <w:color w:val="000000"/>
          <w:sz w:val="32"/>
          <w:szCs w:val="32"/>
        </w:rPr>
        <w:t>。中重度肝功能损伤患者应避免使用。</w:t>
      </w:r>
    </w:p>
    <w:p>
      <w:pPr>
        <w:spacing w:line="360" w:lineRule="auto"/>
        <w:ind w:firstLine="640" w:firstLineChars="200"/>
        <w:rPr>
          <w:rFonts w:ascii="仿宋" w:hAnsi="仿宋" w:eastAsia="仿宋" w:cs="Times New Roman"/>
          <w:color w:val="000000"/>
          <w:sz w:val="32"/>
          <w:szCs w:val="32"/>
        </w:rPr>
      </w:pPr>
      <w:r>
        <w:rPr>
          <w:rFonts w:hint="eastAsia" w:ascii="仿宋" w:hAnsi="仿宋" w:eastAsia="仿宋" w:cs="仿宋"/>
          <w:color w:val="000000"/>
          <w:sz w:val="32"/>
          <w:szCs w:val="32"/>
        </w:rPr>
        <w:t>6</w:t>
      </w:r>
      <w:r>
        <w:rPr>
          <w:rFonts w:ascii="仿宋" w:hAnsi="仿宋" w:eastAsia="仿宋" w:cs="仿宋"/>
          <w:color w:val="000000"/>
          <w:sz w:val="32"/>
          <w:szCs w:val="32"/>
        </w:rPr>
        <w:t>.</w:t>
      </w:r>
      <w:r>
        <w:rPr>
          <w:rFonts w:hint="eastAsia" w:ascii="仿宋" w:hAnsi="仿宋" w:eastAsia="仿宋" w:cs="仿宋"/>
          <w:color w:val="000000"/>
          <w:sz w:val="32"/>
          <w:szCs w:val="32"/>
        </w:rPr>
        <w:t>口服给药，每日一次，每天的用药时间大致固定。应用水送服整粒胶囊。请勿打开、弄破或咀嚼胶囊。如果未在计划时间服用本品，可以在当天尽快服用，第二天继续在正常计划时间服药。请勿额外服用本品以弥补漏服剂量。</w:t>
      </w:r>
    </w:p>
    <w:p>
      <w:pPr>
        <w:spacing w:line="360" w:lineRule="auto"/>
        <w:ind w:firstLine="640" w:firstLineChars="200"/>
        <w:rPr>
          <w:rFonts w:ascii="仿宋" w:hAnsi="仿宋" w:eastAsia="仿宋" w:cs="Times New Roman"/>
          <w:sz w:val="32"/>
          <w:szCs w:val="32"/>
        </w:rPr>
      </w:pPr>
      <w:r>
        <w:rPr>
          <w:rFonts w:hint="eastAsia" w:ascii="仿宋" w:hAnsi="仿宋" w:eastAsia="仿宋" w:cs="仿宋"/>
          <w:color w:val="000000"/>
          <w:sz w:val="32"/>
          <w:szCs w:val="32"/>
        </w:rPr>
        <w:t>7</w:t>
      </w:r>
      <w:r>
        <w:rPr>
          <w:rFonts w:ascii="仿宋" w:hAnsi="仿宋" w:eastAsia="仿宋" w:cs="仿宋"/>
          <w:color w:val="000000"/>
          <w:sz w:val="32"/>
          <w:szCs w:val="32"/>
        </w:rPr>
        <w:t>.</w:t>
      </w:r>
      <w:r>
        <w:rPr>
          <w:rFonts w:hint="eastAsia" w:ascii="仿宋" w:hAnsi="仿宋" w:eastAsia="仿宋" w:cs="仿宋"/>
          <w:color w:val="000000"/>
          <w:sz w:val="32"/>
          <w:szCs w:val="32"/>
        </w:rPr>
        <w:t>出现任何≥</w:t>
      </w:r>
      <w:r>
        <w:rPr>
          <w:rFonts w:ascii="仿宋" w:hAnsi="仿宋" w:eastAsia="仿宋" w:cs="仿宋"/>
          <w:color w:val="000000"/>
          <w:sz w:val="32"/>
          <w:szCs w:val="32"/>
        </w:rPr>
        <w:t>3</w:t>
      </w:r>
      <w:r>
        <w:rPr>
          <w:rFonts w:hint="eastAsia" w:ascii="仿宋" w:hAnsi="仿宋" w:eastAsia="仿宋" w:cs="仿宋"/>
          <w:color w:val="000000"/>
          <w:sz w:val="32"/>
          <w:szCs w:val="32"/>
        </w:rPr>
        <w:t>级非血液学毒性、≥</w:t>
      </w:r>
      <w:r>
        <w:rPr>
          <w:rFonts w:ascii="仿宋" w:hAnsi="仿宋" w:eastAsia="仿宋" w:cs="仿宋"/>
          <w:color w:val="000000"/>
          <w:sz w:val="32"/>
          <w:szCs w:val="32"/>
        </w:rPr>
        <w:t>3</w:t>
      </w:r>
      <w:r>
        <w:rPr>
          <w:rFonts w:hint="eastAsia" w:ascii="仿宋" w:hAnsi="仿宋" w:eastAsia="仿宋" w:cs="仿宋"/>
          <w:color w:val="000000"/>
          <w:sz w:val="32"/>
          <w:szCs w:val="32"/>
        </w:rPr>
        <w:t>级伴感染或发热的中性粒细胞减少症或者</w:t>
      </w:r>
      <w:r>
        <w:rPr>
          <w:rFonts w:ascii="仿宋" w:hAnsi="仿宋" w:eastAsia="仿宋" w:cs="仿宋"/>
          <w:color w:val="000000"/>
          <w:sz w:val="32"/>
          <w:szCs w:val="32"/>
        </w:rPr>
        <w:t>4</w:t>
      </w:r>
      <w:r>
        <w:rPr>
          <w:rFonts w:hint="eastAsia" w:ascii="仿宋" w:hAnsi="仿宋" w:eastAsia="仿宋" w:cs="仿宋"/>
          <w:color w:val="000000"/>
          <w:sz w:val="32"/>
          <w:szCs w:val="32"/>
        </w:rPr>
        <w:t>级血液学毒性时，应中断治疗。待毒性症状消退至</w:t>
      </w:r>
      <w:r>
        <w:rPr>
          <w:rFonts w:ascii="仿宋" w:hAnsi="仿宋" w:eastAsia="仿宋" w:cs="仿宋"/>
          <w:color w:val="000000"/>
          <w:sz w:val="32"/>
          <w:szCs w:val="32"/>
        </w:rPr>
        <w:t>1</w:t>
      </w:r>
      <w:r>
        <w:rPr>
          <w:rFonts w:hint="eastAsia" w:ascii="仿宋" w:hAnsi="仿宋" w:eastAsia="仿宋" w:cs="仿宋"/>
          <w:color w:val="000000"/>
          <w:sz w:val="32"/>
          <w:szCs w:val="32"/>
        </w:rPr>
        <w:t>级或基线水平（恢复）时，可以起始剂量重新开始治疗。如果该毒性再次发生，应将剂量减少</w:t>
      </w:r>
      <w:r>
        <w:rPr>
          <w:rFonts w:ascii="仿宋" w:hAnsi="仿宋" w:eastAsia="仿宋" w:cs="仿宋"/>
          <w:color w:val="000000"/>
          <w:sz w:val="32"/>
          <w:szCs w:val="32"/>
        </w:rPr>
        <w:t>140mg，</w:t>
      </w:r>
      <w:r>
        <w:rPr>
          <w:rFonts w:hint="eastAsia" w:ascii="仿宋" w:hAnsi="仿宋" w:eastAsia="仿宋" w:cs="仿宋"/>
          <w:color w:val="000000"/>
          <w:sz w:val="32"/>
          <w:szCs w:val="32"/>
        </w:rPr>
        <w:t>如有需要，可以考虑再减少</w:t>
      </w:r>
      <w:r>
        <w:rPr>
          <w:rFonts w:ascii="仿宋" w:hAnsi="仿宋" w:eastAsia="仿宋" w:cs="仿宋"/>
          <w:color w:val="000000"/>
          <w:sz w:val="32"/>
          <w:szCs w:val="32"/>
        </w:rPr>
        <w:t>140mg</w:t>
      </w:r>
      <w:r>
        <w:rPr>
          <w:rFonts w:hint="eastAsia" w:ascii="仿宋" w:hAnsi="仿宋" w:eastAsia="仿宋" w:cs="仿宋"/>
          <w:color w:val="000000"/>
          <w:sz w:val="32"/>
          <w:szCs w:val="32"/>
        </w:rPr>
        <w:t>。如果在两次剂量降低后该毒性仍然存在或再次发生，应停用。</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接受本药治疗的</w:t>
      </w:r>
      <w:r>
        <w:rPr>
          <w:rFonts w:ascii="仿宋" w:hAnsi="仿宋" w:eastAsia="仿宋" w:cs="仿宋"/>
          <w:color w:val="000000"/>
          <w:sz w:val="32"/>
          <w:szCs w:val="32"/>
        </w:rPr>
        <w:t>MCL</w:t>
      </w:r>
      <w:r>
        <w:rPr>
          <w:rFonts w:hint="eastAsia" w:ascii="仿宋" w:hAnsi="仿宋" w:eastAsia="仿宋" w:cs="仿宋"/>
          <w:color w:val="000000"/>
          <w:sz w:val="32"/>
          <w:szCs w:val="32"/>
        </w:rPr>
        <w:t>患者最常发生的不良反应（≥</w:t>
      </w:r>
      <w:r>
        <w:rPr>
          <w:rFonts w:ascii="仿宋" w:hAnsi="仿宋" w:eastAsia="仿宋" w:cs="仿宋"/>
          <w:color w:val="000000"/>
          <w:sz w:val="32"/>
          <w:szCs w:val="32"/>
        </w:rPr>
        <w:t>20%</w:t>
      </w:r>
      <w:r>
        <w:rPr>
          <w:rFonts w:hint="eastAsia" w:ascii="仿宋" w:hAnsi="仿宋" w:eastAsia="仿宋" w:cs="仿宋"/>
          <w:color w:val="000000"/>
          <w:sz w:val="32"/>
          <w:szCs w:val="32"/>
        </w:rPr>
        <w:t>）是腹泻、出血（如青肿）、疲乏、骨骼肌肉疼痛、恶心、上呼吸道感染、咳嗽和皮疹。最常见的</w:t>
      </w:r>
      <w:r>
        <w:rPr>
          <w:rFonts w:ascii="仿宋" w:hAnsi="仿宋" w:eastAsia="仿宋" w:cs="仿宋"/>
          <w:color w:val="000000"/>
          <w:sz w:val="32"/>
          <w:szCs w:val="32"/>
        </w:rPr>
        <w:t>3</w:t>
      </w:r>
      <w:r>
        <w:rPr>
          <w:rFonts w:hint="eastAsia" w:ascii="仿宋" w:hAnsi="仿宋" w:eastAsia="仿宋" w:cs="仿宋"/>
          <w:color w:val="000000"/>
          <w:sz w:val="32"/>
          <w:szCs w:val="32"/>
        </w:rPr>
        <w:t>级或</w:t>
      </w:r>
      <w:r>
        <w:rPr>
          <w:rFonts w:ascii="仿宋" w:hAnsi="仿宋" w:eastAsia="仿宋" w:cs="仿宋"/>
          <w:color w:val="000000"/>
          <w:sz w:val="32"/>
          <w:szCs w:val="32"/>
        </w:rPr>
        <w:t>4</w:t>
      </w:r>
      <w:r>
        <w:rPr>
          <w:rFonts w:hint="eastAsia" w:ascii="仿宋" w:hAnsi="仿宋" w:eastAsia="仿宋" w:cs="仿宋"/>
          <w:color w:val="000000"/>
          <w:sz w:val="32"/>
          <w:szCs w:val="32"/>
        </w:rPr>
        <w:t>级不良反应（≥</w:t>
      </w:r>
      <w:r>
        <w:rPr>
          <w:rFonts w:ascii="仿宋" w:hAnsi="仿宋" w:eastAsia="仿宋" w:cs="仿宋"/>
          <w:color w:val="000000"/>
          <w:sz w:val="32"/>
          <w:szCs w:val="32"/>
        </w:rPr>
        <w:t>5%</w:t>
      </w:r>
      <w:r>
        <w:rPr>
          <w:rFonts w:hint="eastAsia" w:ascii="仿宋" w:hAnsi="仿宋" w:eastAsia="仿宋" w:cs="仿宋"/>
          <w:color w:val="000000"/>
          <w:sz w:val="32"/>
          <w:szCs w:val="32"/>
        </w:rPr>
        <w:t>）是中性粒细胞减少症、血小板减少症、感染性肺炎和贫血。接受本药治疗的</w:t>
      </w:r>
      <w:r>
        <w:rPr>
          <w:rFonts w:ascii="仿宋" w:hAnsi="仿宋" w:eastAsia="仿宋" w:cs="仿宋"/>
          <w:color w:val="000000"/>
          <w:sz w:val="32"/>
          <w:szCs w:val="32"/>
        </w:rPr>
        <w:t>CLL</w:t>
      </w:r>
      <w:r>
        <w:rPr>
          <w:rFonts w:hint="eastAsia" w:ascii="仿宋" w:hAnsi="仿宋" w:eastAsia="仿宋" w:cs="仿宋"/>
          <w:color w:val="000000"/>
          <w:sz w:val="32"/>
          <w:szCs w:val="32"/>
        </w:rPr>
        <w:t>或</w:t>
      </w:r>
      <w:r>
        <w:rPr>
          <w:rFonts w:ascii="仿宋" w:hAnsi="仿宋" w:eastAsia="仿宋" w:cs="仿宋"/>
          <w:color w:val="000000"/>
          <w:sz w:val="32"/>
          <w:szCs w:val="32"/>
        </w:rPr>
        <w:t>SLL</w:t>
      </w:r>
      <w:r>
        <w:rPr>
          <w:rFonts w:hint="eastAsia" w:ascii="仿宋" w:hAnsi="仿宋" w:eastAsia="仿宋" w:cs="仿宋"/>
          <w:color w:val="000000"/>
          <w:sz w:val="32"/>
          <w:szCs w:val="32"/>
        </w:rPr>
        <w:t>患者最常发生的不良反应（≥</w:t>
      </w:r>
      <w:r>
        <w:rPr>
          <w:rFonts w:ascii="仿宋" w:hAnsi="仿宋" w:eastAsia="仿宋" w:cs="仿宋"/>
          <w:color w:val="000000"/>
          <w:sz w:val="32"/>
          <w:szCs w:val="32"/>
        </w:rPr>
        <w:t>20%</w:t>
      </w:r>
      <w:r>
        <w:rPr>
          <w:rFonts w:hint="eastAsia" w:ascii="仿宋" w:hAnsi="仿宋" w:eastAsia="仿宋" w:cs="仿宋"/>
          <w:color w:val="000000"/>
          <w:sz w:val="32"/>
          <w:szCs w:val="32"/>
        </w:rPr>
        <w:t>）是中性粒细胞减少症、血小板减少症、贫血、腹泻、骨骼肌肉疼痛、恶心、皮疹、青肿、疲乏、发热和出血。</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五、利妥昔单抗 R</w:t>
      </w:r>
      <w:r>
        <w:rPr>
          <w:rFonts w:ascii="黑体" w:hAnsi="黑体" w:eastAsia="黑体" w:cs="黑体"/>
          <w:sz w:val="32"/>
          <w:szCs w:val="32"/>
        </w:rPr>
        <w:t>ituximab</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w:t>
      </w:r>
      <w:r>
        <w:rPr>
          <w:rFonts w:ascii="仿宋" w:hAnsi="仿宋" w:eastAsia="仿宋" w:cs="仿宋"/>
          <w:sz w:val="32"/>
          <w:szCs w:val="32"/>
        </w:rPr>
        <w:t>10ml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r>
        <w:rPr>
          <w:rFonts w:ascii="仿宋" w:hAnsi="仿宋" w:eastAsia="仿宋" w:cs="仿宋"/>
          <w:sz w:val="32"/>
          <w:szCs w:val="32"/>
        </w:rPr>
        <w:t>500mg</w:t>
      </w:r>
      <w:r>
        <w:rPr>
          <w:rFonts w:hint="eastAsia" w:ascii="仿宋" w:hAnsi="仿宋" w:eastAsia="仿宋" w:cs="仿宋"/>
          <w:sz w:val="32"/>
          <w:szCs w:val="32"/>
        </w:rPr>
        <w:t>（</w:t>
      </w:r>
      <w:r>
        <w:rPr>
          <w:rFonts w:ascii="仿宋" w:hAnsi="仿宋" w:eastAsia="仿宋" w:cs="仿宋"/>
          <w:sz w:val="32"/>
          <w:szCs w:val="32"/>
        </w:rPr>
        <w:t>50ml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有治疗指征的滤泡性非霍奇金淋巴瘤。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.CD20</w:t>
      </w:r>
      <w:r>
        <w:rPr>
          <w:rFonts w:hint="eastAsia" w:ascii="仿宋" w:hAnsi="仿宋" w:eastAsia="仿宋" w:cs="仿宋"/>
          <w:sz w:val="32"/>
          <w:szCs w:val="32"/>
        </w:rPr>
        <w:t>阳性弥漫大</w:t>
      </w:r>
      <w:r>
        <w:rPr>
          <w:rFonts w:ascii="仿宋" w:hAnsi="仿宋" w:eastAsia="仿宋" w:cs="仿宋"/>
          <w:sz w:val="32"/>
          <w:szCs w:val="32"/>
        </w:rPr>
        <w:t>B</w:t>
      </w:r>
      <w:r>
        <w:rPr>
          <w:rFonts w:hint="eastAsia" w:ascii="仿宋" w:hAnsi="仿宋" w:eastAsia="仿宋" w:cs="仿宋"/>
          <w:sz w:val="32"/>
          <w:szCs w:val="32"/>
        </w:rPr>
        <w:t>细胞性非霍奇金淋巴瘤（</w:t>
      </w:r>
      <w:r>
        <w:rPr>
          <w:rFonts w:ascii="仿宋" w:hAnsi="仿宋" w:eastAsia="仿宋" w:cs="仿宋"/>
          <w:sz w:val="32"/>
          <w:szCs w:val="32"/>
        </w:rPr>
        <w:t>DLBCL</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3.单药用于利妥昔单抗联合化疗后达完全或部分缓解后滤泡性淋巴瘤（FL）患者的维持治疗。</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4.联合氟达拉滨和环磷酰胺（FC）用于初治复发性/难治性慢性淋巴细胞白血病（CLL）的治疗。</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接受</w:t>
      </w:r>
      <w:r>
        <w:rPr>
          <w:rFonts w:hint="eastAsia" w:ascii="仿宋" w:hAnsi="仿宋" w:eastAsia="仿宋" w:cs="仿宋"/>
          <w:color w:val="000000"/>
          <w:sz w:val="32"/>
          <w:szCs w:val="32"/>
        </w:rPr>
        <w:t>利妥昔单抗治疗后最常见的不良反应是输注相关反应，</w:t>
      </w:r>
      <w:r>
        <w:rPr>
          <w:rFonts w:hint="eastAsia" w:ascii="仿宋" w:hAnsi="仿宋" w:eastAsia="仿宋" w:cs="仿宋"/>
          <w:sz w:val="32"/>
          <w:szCs w:val="32"/>
        </w:rPr>
        <w:t>主要在首次输注时发生，</w:t>
      </w:r>
      <w:r>
        <w:rPr>
          <w:rFonts w:hint="eastAsia" w:ascii="仿宋" w:hAnsi="仿宋" w:eastAsia="仿宋" w:cs="仿宋"/>
          <w:color w:val="000000"/>
          <w:sz w:val="32"/>
          <w:szCs w:val="32"/>
        </w:rPr>
        <w:t>症状可表现为：恶心、瘙痒、发热、风疹</w:t>
      </w:r>
      <w:r>
        <w:rPr>
          <w:rFonts w:ascii="仿宋" w:hAnsi="仿宋" w:eastAsia="仿宋" w:cs="仿宋"/>
          <w:color w:val="000000"/>
          <w:sz w:val="32"/>
          <w:szCs w:val="32"/>
        </w:rPr>
        <w:t>/</w:t>
      </w:r>
      <w:r>
        <w:rPr>
          <w:rFonts w:hint="eastAsia" w:ascii="仿宋" w:hAnsi="仿宋" w:eastAsia="仿宋" w:cs="仿宋"/>
          <w:color w:val="000000"/>
          <w:sz w:val="32"/>
          <w:szCs w:val="32"/>
        </w:rPr>
        <w:t>皮疹、畏寒、寒战、喷嚏、血管神经性水肿、咽喉刺激、咳嗽和支气管痉挛，同时伴有或不伴有与药物治疗相关的低血压或高血压</w:t>
      </w:r>
      <w:r>
        <w:rPr>
          <w:rFonts w:hint="eastAsia" w:ascii="仿宋" w:hAnsi="仿宋" w:eastAsia="仿宋" w:cs="仿宋"/>
          <w:sz w:val="32"/>
          <w:szCs w:val="32"/>
        </w:rPr>
        <w:t>。每次滴注利妥昔单抗前应预先使用抗过敏药物。如果所使用的治疗方案不包括糖皮质激素时，还应该预先使用糖皮质激素。</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color w:val="000000"/>
          <w:sz w:val="32"/>
          <w:szCs w:val="32"/>
        </w:rPr>
        <w:t>在接受利妥昔单抗和抑制细胞增殖药物化疗的患者中，已报告发生乙型肝炎再激活的病例。应在开始利妥昔单抗治疗前对所有患者根据当地指南进行乙肝病毒（</w:t>
      </w:r>
      <w:r>
        <w:rPr>
          <w:rFonts w:ascii="仿宋" w:hAnsi="仿宋" w:eastAsia="仿宋" w:cs="仿宋"/>
          <w:color w:val="000000"/>
          <w:sz w:val="32"/>
          <w:szCs w:val="32"/>
        </w:rPr>
        <w:t>HBV</w:t>
      </w:r>
      <w:r>
        <w:rPr>
          <w:rFonts w:hint="eastAsia" w:ascii="仿宋" w:hAnsi="仿宋" w:eastAsia="仿宋" w:cs="仿宋"/>
          <w:color w:val="000000"/>
          <w:sz w:val="32"/>
          <w:szCs w:val="32"/>
        </w:rPr>
        <w:t>）的筛查，至少应包括乙肝表面抗原（</w:t>
      </w:r>
      <w:r>
        <w:rPr>
          <w:rFonts w:ascii="仿宋" w:hAnsi="仿宋" w:eastAsia="仿宋" w:cs="仿宋"/>
          <w:color w:val="000000"/>
          <w:sz w:val="32"/>
          <w:szCs w:val="32"/>
        </w:rPr>
        <w:t>HBsAg</w:t>
      </w:r>
      <w:r>
        <w:rPr>
          <w:rFonts w:hint="eastAsia" w:ascii="仿宋" w:hAnsi="仿宋" w:eastAsia="仿宋" w:cs="仿宋"/>
          <w:color w:val="000000"/>
          <w:sz w:val="32"/>
          <w:szCs w:val="32"/>
        </w:rPr>
        <w:t>）和乙肝核心抗体（</w:t>
      </w:r>
      <w:r>
        <w:rPr>
          <w:rFonts w:ascii="仿宋" w:hAnsi="仿宋" w:eastAsia="仿宋" w:cs="仿宋"/>
          <w:color w:val="000000"/>
          <w:sz w:val="32"/>
          <w:szCs w:val="32"/>
        </w:rPr>
        <w:t>HBcAb</w:t>
      </w:r>
      <w:r>
        <w:rPr>
          <w:rFonts w:hint="eastAsia" w:ascii="仿宋" w:hAnsi="仿宋" w:eastAsia="仿宋" w:cs="仿宋"/>
          <w:color w:val="000000"/>
          <w:sz w:val="32"/>
          <w:szCs w:val="32"/>
        </w:rPr>
        <w:t>）</w:t>
      </w:r>
      <w:r>
        <w:rPr>
          <w:rFonts w:hint="eastAsia" w:ascii="仿宋" w:hAnsi="仿宋" w:eastAsia="仿宋" w:cs="仿宋"/>
          <w:color w:val="000000"/>
          <w:w w:val="97"/>
          <w:sz w:val="32"/>
          <w:szCs w:val="32"/>
        </w:rPr>
        <w:t>指标。不应对活动性乙肝患者使用利妥昔单抗进行治疗。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禁用于严重活动性感染或免疫应答严重损伤（如低球蛋白血症，</w:t>
      </w:r>
      <w:r>
        <w:rPr>
          <w:rFonts w:ascii="仿宋" w:hAnsi="仿宋" w:eastAsia="仿宋" w:cs="仿宋"/>
          <w:sz w:val="32"/>
          <w:szCs w:val="32"/>
        </w:rPr>
        <w:t>CD4</w:t>
      </w:r>
      <w:r>
        <w:rPr>
          <w:rFonts w:hint="eastAsia" w:ascii="仿宋" w:hAnsi="仿宋" w:eastAsia="仿宋" w:cs="仿宋"/>
          <w:sz w:val="32"/>
          <w:szCs w:val="32"/>
        </w:rPr>
        <w:t>或</w:t>
      </w:r>
      <w:r>
        <w:rPr>
          <w:rFonts w:ascii="仿宋" w:hAnsi="仿宋" w:eastAsia="仿宋" w:cs="仿宋"/>
          <w:sz w:val="32"/>
          <w:szCs w:val="32"/>
        </w:rPr>
        <w:t>CD8</w:t>
      </w:r>
      <w:r>
        <w:rPr>
          <w:rFonts w:hint="eastAsia" w:ascii="仿宋" w:hAnsi="仿宋" w:eastAsia="仿宋" w:cs="仿宋"/>
          <w:sz w:val="32"/>
          <w:szCs w:val="32"/>
        </w:rPr>
        <w:t>细胞计数严重下降）患者及严重心衰</w:t>
      </w:r>
      <w:r>
        <w:rPr>
          <w:rFonts w:ascii="仿宋" w:hAnsi="仿宋" w:eastAsia="仿宋" w:cs="仿宋"/>
          <w:color w:val="000000"/>
          <w:sz w:val="32"/>
          <w:szCs w:val="32"/>
        </w:rPr>
        <w:t>[</w:t>
      </w:r>
      <w:r>
        <w:rPr>
          <w:rFonts w:hint="eastAsia" w:ascii="仿宋" w:hAnsi="仿宋" w:eastAsia="仿宋" w:cs="仿宋"/>
          <w:color w:val="000000"/>
          <w:sz w:val="32"/>
          <w:szCs w:val="32"/>
        </w:rPr>
        <w:t>纽约心脏病学会（</w:t>
      </w:r>
      <w:r>
        <w:rPr>
          <w:rFonts w:ascii="仿宋" w:hAnsi="仿宋" w:eastAsia="仿宋" w:cs="仿宋"/>
          <w:color w:val="000000"/>
          <w:sz w:val="32"/>
          <w:szCs w:val="32"/>
        </w:rPr>
        <w:t>NYHA</w:t>
      </w:r>
      <w:r>
        <w:rPr>
          <w:rFonts w:hint="eastAsia" w:ascii="仿宋" w:hAnsi="仿宋" w:eastAsia="仿宋" w:cs="仿宋"/>
          <w:color w:val="000000"/>
          <w:sz w:val="32"/>
          <w:szCs w:val="32"/>
        </w:rPr>
        <w:t>）</w:t>
      </w:r>
      <w:r>
        <w:rPr>
          <w:rFonts w:hint="eastAsia" w:ascii="仿宋" w:hAnsi="仿宋" w:eastAsia="仿宋" w:cs="仿宋"/>
          <w:sz w:val="32"/>
          <w:szCs w:val="32"/>
        </w:rPr>
        <w:t>分类</w:t>
      </w:r>
      <w:bookmarkStart w:id="0" w:name="_Hlk59362002"/>
      <w:r>
        <w:rPr>
          <w:rFonts w:hint="eastAsia" w:ascii="仿宋" w:hAnsi="仿宋" w:eastAsia="仿宋" w:cs="仿宋"/>
          <w:sz w:val="32"/>
          <w:szCs w:val="32"/>
        </w:rPr>
        <w:t>Ⅳ</w:t>
      </w:r>
      <w:bookmarkEnd w:id="0"/>
      <w:r>
        <w:rPr>
          <w:rFonts w:hint="eastAsia" w:ascii="仿宋" w:hAnsi="仿宋" w:eastAsia="仿宋" w:cs="仿宋"/>
          <w:sz w:val="32"/>
          <w:szCs w:val="32"/>
        </w:rPr>
        <w:t>级</w:t>
      </w:r>
      <w:r>
        <w:rPr>
          <w:rFonts w:ascii="仿宋" w:hAnsi="仿宋" w:eastAsia="仿宋" w:cs="仿宋"/>
          <w:color w:val="000000"/>
          <w:sz w:val="32"/>
          <w:szCs w:val="32"/>
        </w:rPr>
        <w:t>]</w:t>
      </w:r>
      <w:r>
        <w:rPr>
          <w:rFonts w:hint="eastAsia" w:ascii="仿宋" w:hAnsi="仿宋" w:eastAsia="仿宋" w:cs="仿宋"/>
          <w:sz w:val="32"/>
          <w:szCs w:val="32"/>
        </w:rPr>
        <w:t>患者；妊娠期间禁止利妥昔单抗与甲氨蝶呤联合用药。</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color w:val="000000"/>
          <w:sz w:val="32"/>
          <w:szCs w:val="32"/>
        </w:rPr>
        <w:t>利妥昔单抗给药需要严格遵循说明书用法用量，尤其需要注意起始滴速的控制。</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5.对用药患者进行严密监护，监测是否发生细胞因子释放综合征及肿瘤溶解综合征。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预先存在肺功能不全或肿瘤肺浸润的患者必须进行胸部影像学检查。</w:t>
      </w:r>
    </w:p>
    <w:p>
      <w:pPr>
        <w:spacing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7.使用利妥昔单抗治疗的患者不宜使用活病毒疫苗进行接种，可以接受非活疫苗的接种，但对非活疫苗的应答率可能会下降。</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六、维布妥昔单抗</w:t>
      </w:r>
      <w:r>
        <w:rPr>
          <w:rFonts w:ascii="黑体" w:hAnsi="黑体" w:eastAsia="黑体"/>
          <w:color w:val="000000"/>
          <w:sz w:val="32"/>
          <w:szCs w:val="32"/>
        </w:rPr>
        <w:t>Brentuximab Vedotin</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粉针剂：</w:t>
      </w:r>
      <w:r>
        <w:rPr>
          <w:rFonts w:ascii="仿宋" w:hAnsi="仿宋" w:eastAsia="仿宋"/>
          <w:color w:val="000000"/>
          <w:sz w:val="32"/>
          <w:szCs w:val="32"/>
        </w:rPr>
        <w:t>5</w:t>
      </w:r>
      <w:r>
        <w:rPr>
          <w:rFonts w:hint="eastAsia" w:ascii="仿宋" w:hAnsi="仿宋" w:eastAsia="仿宋"/>
          <w:color w:val="000000"/>
          <w:sz w:val="32"/>
          <w:szCs w:val="32"/>
        </w:rPr>
        <w:t>0mg/瓶</w:t>
      </w:r>
    </w:p>
    <w:p>
      <w:pPr>
        <w:spacing w:line="360" w:lineRule="auto"/>
        <w:ind w:firstLine="643" w:firstLineChars="200"/>
        <w:rPr>
          <w:rFonts w:ascii="仿宋" w:hAnsi="仿宋" w:eastAsia="仿宋"/>
          <w:bCs/>
          <w:color w:val="000000"/>
          <w:sz w:val="32"/>
          <w:szCs w:val="32"/>
        </w:rPr>
      </w:pPr>
      <w:r>
        <w:rPr>
          <w:rFonts w:hint="eastAsia" w:ascii="仿宋" w:hAnsi="仿宋" w:eastAsia="仿宋"/>
          <w:b/>
          <w:color w:val="000000"/>
          <w:sz w:val="32"/>
          <w:szCs w:val="32"/>
        </w:rPr>
        <w:t>适应证：</w:t>
      </w:r>
      <w:r>
        <w:rPr>
          <w:rFonts w:hint="eastAsia" w:ascii="仿宋" w:hAnsi="仿宋" w:eastAsia="仿宋"/>
          <w:bCs/>
          <w:color w:val="000000"/>
          <w:sz w:val="32"/>
          <w:szCs w:val="32"/>
        </w:rPr>
        <w:t>复发性或难治性系统性间变性大细胞淋巴瘤（</w:t>
      </w:r>
      <w:r>
        <w:rPr>
          <w:rFonts w:ascii="仿宋" w:hAnsi="仿宋" w:eastAsia="仿宋"/>
          <w:bCs/>
          <w:color w:val="000000"/>
          <w:sz w:val="32"/>
          <w:szCs w:val="32"/>
        </w:rPr>
        <w:t>sALCL</w:t>
      </w:r>
      <w:r>
        <w:rPr>
          <w:rFonts w:hint="eastAsia" w:ascii="仿宋" w:hAnsi="仿宋" w:eastAsia="仿宋"/>
          <w:bCs/>
          <w:color w:val="000000"/>
          <w:sz w:val="32"/>
          <w:szCs w:val="32"/>
        </w:rPr>
        <w:t>）患者。复发性或难治性经典型霍奇金淋巴瘤（</w:t>
      </w:r>
      <w:r>
        <w:rPr>
          <w:rFonts w:ascii="仿宋" w:hAnsi="仿宋" w:eastAsia="仿宋"/>
          <w:bCs/>
          <w:color w:val="000000"/>
          <w:sz w:val="32"/>
          <w:szCs w:val="32"/>
        </w:rPr>
        <w:t>cHL</w:t>
      </w:r>
      <w:r>
        <w:rPr>
          <w:rFonts w:hint="eastAsia" w:ascii="仿宋" w:hAnsi="仿宋" w:eastAsia="仿宋"/>
          <w:bCs/>
          <w:color w:val="000000"/>
          <w:sz w:val="32"/>
          <w:szCs w:val="32"/>
        </w:rPr>
        <w:t>）患者。</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1.周围神经病变：维</w:t>
      </w:r>
      <w:r>
        <w:rPr>
          <w:rFonts w:hint="eastAsia" w:ascii="仿宋" w:hAnsi="仿宋" w:eastAsia="仿宋"/>
          <w:bCs/>
          <w:color w:val="000000"/>
          <w:sz w:val="32"/>
          <w:szCs w:val="32"/>
        </w:rPr>
        <w:t>布妥昔单抗治疗可引起感觉和运动性周围神经病变且具有累积效应，可能需要推迟给药或终止治疗。</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2.输</w:t>
      </w:r>
      <w:r>
        <w:rPr>
          <w:rFonts w:hint="eastAsia" w:ascii="仿宋" w:hAnsi="仿宋" w:eastAsia="仿宋"/>
          <w:bCs/>
          <w:color w:val="000000"/>
          <w:sz w:val="32"/>
          <w:szCs w:val="32"/>
        </w:rPr>
        <w:t>注相关反应：单药治疗输液反应发生率为</w:t>
      </w:r>
      <w:r>
        <w:rPr>
          <w:rFonts w:ascii="仿宋" w:hAnsi="仿宋" w:eastAsia="仿宋"/>
          <w:bCs/>
          <w:color w:val="000000"/>
          <w:sz w:val="32"/>
          <w:szCs w:val="32"/>
        </w:rPr>
        <w:t>13%，3级事件发生率9.8%。超敏反应发生少见，如发生应立即终止输注并给予相应处理。</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3.血液毒性：每次给药前，应</w:t>
      </w:r>
      <w:r>
        <w:rPr>
          <w:rFonts w:hint="eastAsia" w:ascii="仿宋" w:hAnsi="仿宋" w:eastAsia="仿宋"/>
          <w:bCs/>
          <w:color w:val="000000"/>
          <w:sz w:val="32"/>
          <w:szCs w:val="32"/>
        </w:rPr>
        <w:t>监测全血细胞计数。</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4.肿瘤溶解综合征：肿瘤增殖迅速和肿瘤负荷高的患者发生肿瘤溶解综合征的风险较高，应密切监测并采取适当的措施。</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5.严重皮肤反应：包括Stevens-Johnson综合征（SJS）和中毒性表皮坏死松解症（TEN）。若发生应</w:t>
      </w:r>
      <w:r>
        <w:rPr>
          <w:rFonts w:hint="eastAsia" w:ascii="仿宋" w:hAnsi="仿宋" w:eastAsia="仿宋"/>
          <w:bCs/>
          <w:color w:val="000000"/>
          <w:sz w:val="32"/>
          <w:szCs w:val="32"/>
        </w:rPr>
        <w:t>终止维布妥昔单抗给药，并应提供适当治疗。</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6.肺毒性：包括肺炎、间质性肺病和急性呼吸窘迫综合征（ARDS），应监测并避免与博来霉素合并使用。</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7.维</w:t>
      </w:r>
      <w:r>
        <w:rPr>
          <w:rFonts w:hint="eastAsia" w:ascii="仿宋" w:hAnsi="仿宋" w:eastAsia="仿宋"/>
          <w:bCs/>
          <w:color w:val="000000"/>
          <w:sz w:val="32"/>
          <w:szCs w:val="32"/>
        </w:rPr>
        <w:t>布妥昔单抗与</w:t>
      </w:r>
      <w:r>
        <w:rPr>
          <w:rFonts w:ascii="仿宋" w:hAnsi="仿宋" w:eastAsia="仿宋"/>
          <w:bCs/>
          <w:color w:val="000000"/>
          <w:sz w:val="32"/>
          <w:szCs w:val="32"/>
        </w:rPr>
        <w:t>CYP3A4途径代谢的药物存在相互作用（CYP3A4抑制剂/诱导剂）：如与酮康</w:t>
      </w:r>
      <w:r>
        <w:rPr>
          <w:rFonts w:hint="eastAsia" w:ascii="仿宋" w:hAnsi="仿宋" w:eastAsia="仿宋"/>
          <w:bCs/>
          <w:color w:val="000000"/>
          <w:sz w:val="32"/>
          <w:szCs w:val="32"/>
        </w:rPr>
        <w:t>唑可能会提高中性粒细胞减少症的发生率；利福平对维布妥昔单抗的血浆暴露量没有影响。</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8.重度肾损害患者的毒性增加：主要是其共价</w:t>
      </w:r>
      <w:r>
        <w:rPr>
          <w:rFonts w:hint="eastAsia" w:ascii="仿宋" w:hAnsi="仿宋" w:eastAsia="仿宋"/>
          <w:bCs/>
          <w:color w:val="000000"/>
          <w:sz w:val="32"/>
          <w:szCs w:val="32"/>
        </w:rPr>
        <w:t>耦连的微管抑制剂单甲基澳瑞他汀</w:t>
      </w:r>
      <w:r>
        <w:rPr>
          <w:rFonts w:ascii="仿宋" w:hAnsi="仿宋" w:eastAsia="仿宋"/>
          <w:bCs/>
          <w:color w:val="000000"/>
          <w:sz w:val="32"/>
          <w:szCs w:val="32"/>
        </w:rPr>
        <w:t>E</w:t>
      </w:r>
      <w:r>
        <w:rPr>
          <w:rFonts w:hint="eastAsia" w:ascii="仿宋" w:hAnsi="仿宋" w:eastAsia="仿宋"/>
          <w:bCs/>
          <w:color w:val="000000"/>
          <w:sz w:val="32"/>
          <w:szCs w:val="32"/>
        </w:rPr>
        <w:t>（</w:t>
      </w:r>
      <w:r>
        <w:rPr>
          <w:rFonts w:ascii="仿宋" w:hAnsi="仿宋" w:eastAsia="仿宋"/>
          <w:bCs/>
          <w:color w:val="000000"/>
          <w:sz w:val="32"/>
          <w:szCs w:val="32"/>
        </w:rPr>
        <w:t>MMAE</w:t>
      </w:r>
      <w:r>
        <w:rPr>
          <w:rFonts w:hint="eastAsia" w:ascii="仿宋" w:hAnsi="仿宋" w:eastAsia="仿宋"/>
          <w:bCs/>
          <w:color w:val="000000"/>
          <w:sz w:val="32"/>
          <w:szCs w:val="32"/>
        </w:rPr>
        <w:t>）集聚引起，重度肾损害</w:t>
      </w:r>
      <w:r>
        <w:rPr>
          <w:rFonts w:ascii="仿宋" w:hAnsi="仿宋" w:eastAsia="仿宋"/>
          <w:bCs/>
          <w:color w:val="000000"/>
          <w:sz w:val="32"/>
          <w:szCs w:val="32"/>
        </w:rPr>
        <w:t>[肌酐清除率（CrCL</w:t>
      </w:r>
      <w:r>
        <w:rPr>
          <w:rFonts w:hint="eastAsia" w:ascii="仿宋" w:hAnsi="仿宋" w:eastAsia="仿宋"/>
          <w:bCs/>
          <w:color w:val="000000"/>
          <w:sz w:val="32"/>
          <w:szCs w:val="32"/>
        </w:rPr>
        <w:t>）</w:t>
      </w:r>
      <w:r>
        <w:rPr>
          <w:rFonts w:hint="eastAsia" w:ascii="仿宋" w:hAnsi="仿宋" w:eastAsia="仿宋" w:cs="仿宋"/>
          <w:color w:val="000000"/>
          <w:sz w:val="32"/>
          <w:szCs w:val="32"/>
        </w:rPr>
        <w:t>＜</w:t>
      </w:r>
      <w:r>
        <w:rPr>
          <w:rFonts w:ascii="仿宋" w:hAnsi="仿宋" w:eastAsia="仿宋"/>
          <w:bCs/>
          <w:color w:val="000000"/>
          <w:sz w:val="32"/>
          <w:szCs w:val="32"/>
        </w:rPr>
        <w:t>30ml</w:t>
      </w:r>
      <w:r>
        <w:rPr>
          <w:rFonts w:hint="eastAsia" w:ascii="仿宋" w:hAnsi="仿宋" w:eastAsia="仿宋"/>
          <w:bCs/>
          <w:color w:val="000000"/>
          <w:sz w:val="32"/>
          <w:szCs w:val="32"/>
        </w:rPr>
        <w:t>/分钟</w:t>
      </w:r>
      <w:r>
        <w:rPr>
          <w:rFonts w:ascii="仿宋" w:hAnsi="仿宋" w:eastAsia="仿宋"/>
          <w:bCs/>
          <w:color w:val="000000"/>
          <w:sz w:val="32"/>
          <w:szCs w:val="32"/>
        </w:rPr>
        <w:t>]患者避免使用维</w:t>
      </w:r>
      <w:r>
        <w:rPr>
          <w:rFonts w:hint="eastAsia" w:ascii="仿宋" w:hAnsi="仿宋" w:eastAsia="仿宋"/>
          <w:bCs/>
          <w:color w:val="000000"/>
          <w:sz w:val="32"/>
          <w:szCs w:val="32"/>
        </w:rPr>
        <w:t>布妥昔单抗。</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9.美国FDA获批的其他适应证：先前接受过系统治疗的原发性皮肤间变性大细胞淋巴瘤或CD30阳性蕈样真菌病成人患者；联合化疗治疗初治</w:t>
      </w:r>
      <w:r>
        <w:rPr>
          <w:rFonts w:hint="eastAsia" w:ascii="仿宋" w:hAnsi="仿宋" w:eastAsia="仿宋"/>
          <w:color w:val="000000"/>
          <w:sz w:val="32"/>
          <w:szCs w:val="32"/>
        </w:rPr>
        <w:t>Ⅲ</w:t>
      </w:r>
      <w:r>
        <w:rPr>
          <w:rFonts w:hint="eastAsia" w:ascii="仿宋" w:hAnsi="仿宋" w:eastAsia="仿宋"/>
          <w:bCs/>
          <w:color w:val="000000"/>
          <w:sz w:val="32"/>
          <w:szCs w:val="32"/>
        </w:rPr>
        <w:t>或</w:t>
      </w:r>
      <w:r>
        <w:rPr>
          <w:rFonts w:hint="eastAsia" w:ascii="仿宋" w:hAnsi="仿宋" w:eastAsia="仿宋" w:cs="仿宋"/>
          <w:sz w:val="32"/>
          <w:szCs w:val="32"/>
        </w:rPr>
        <w:t>Ⅳ</w:t>
      </w:r>
      <w:r>
        <w:rPr>
          <w:rFonts w:hint="eastAsia" w:ascii="仿宋" w:hAnsi="仿宋" w:eastAsia="仿宋"/>
          <w:bCs/>
          <w:color w:val="000000"/>
          <w:sz w:val="32"/>
          <w:szCs w:val="32"/>
        </w:rPr>
        <w:t>期经典型霍奇金淋巴瘤、初治系统性间变性大细胞淋巴瘤或其他表达CD30的外周T细胞淋巴瘤患者。</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七、西达本胺 C</w:t>
      </w:r>
      <w:r>
        <w:rPr>
          <w:rFonts w:ascii="黑体" w:hAnsi="黑体" w:eastAsia="黑体" w:cs="黑体"/>
          <w:sz w:val="32"/>
          <w:szCs w:val="32"/>
        </w:rPr>
        <w:t>hidamide</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 xml:space="preserve">5mg </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color w:val="000000"/>
          <w:sz w:val="32"/>
          <w:szCs w:val="32"/>
        </w:rPr>
        <w:t>适用于既往至少接受过一次全身化疗的复发或难治的外周</w:t>
      </w:r>
      <w:r>
        <w:rPr>
          <w:rFonts w:ascii="仿宋" w:hAnsi="仿宋" w:eastAsia="仿宋" w:cs="仿宋"/>
          <w:color w:val="000000"/>
          <w:sz w:val="32"/>
          <w:szCs w:val="32"/>
        </w:rPr>
        <w:t>T</w:t>
      </w:r>
      <w:r>
        <w:rPr>
          <w:rFonts w:hint="eastAsia" w:ascii="仿宋" w:hAnsi="仿宋" w:eastAsia="仿宋" w:cs="仿宋"/>
          <w:color w:val="000000"/>
          <w:sz w:val="32"/>
          <w:szCs w:val="32"/>
        </w:rPr>
        <w:t>细胞淋巴瘤（</w:t>
      </w:r>
      <w:r>
        <w:rPr>
          <w:rFonts w:ascii="仿宋" w:hAnsi="仿宋" w:eastAsia="仿宋" w:cs="仿宋"/>
          <w:color w:val="000000"/>
          <w:sz w:val="32"/>
          <w:szCs w:val="32"/>
        </w:rPr>
        <w:t>PTCL</w:t>
      </w:r>
      <w:r>
        <w:rPr>
          <w:rFonts w:hint="eastAsia" w:ascii="仿宋" w:hAnsi="仿宋" w:eastAsia="仿宋" w:cs="仿宋"/>
          <w:color w:val="000000"/>
          <w:sz w:val="32"/>
          <w:szCs w:val="32"/>
        </w:rPr>
        <w:t>）患者。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color w:val="000000"/>
          <w:sz w:val="32"/>
          <w:szCs w:val="32"/>
        </w:rPr>
      </w:pPr>
      <w:r>
        <w:rPr>
          <w:rFonts w:ascii="仿宋" w:hAnsi="仿宋" w:eastAsia="仿宋" w:cs="仿宋"/>
          <w:sz w:val="32"/>
          <w:szCs w:val="32"/>
        </w:rPr>
        <w:t>1.</w:t>
      </w:r>
      <w:r>
        <w:rPr>
          <w:rFonts w:hint="eastAsia" w:ascii="仿宋" w:hAnsi="仿宋" w:eastAsia="仿宋" w:cs="仿宋"/>
          <w:color w:val="000000"/>
          <w:sz w:val="32"/>
          <w:szCs w:val="32"/>
        </w:rPr>
        <w:t>成人推荐每次服药</w:t>
      </w:r>
      <w:r>
        <w:rPr>
          <w:rFonts w:ascii="仿宋" w:hAnsi="仿宋" w:eastAsia="仿宋" w:cs="仿宋"/>
          <w:color w:val="000000"/>
          <w:sz w:val="32"/>
          <w:szCs w:val="32"/>
        </w:rPr>
        <w:t>30mg</w:t>
      </w:r>
      <w:r>
        <w:rPr>
          <w:rFonts w:hint="eastAsia" w:ascii="仿宋" w:hAnsi="仿宋" w:eastAsia="仿宋" w:cs="仿宋"/>
          <w:color w:val="000000"/>
          <w:sz w:val="32"/>
          <w:szCs w:val="32"/>
        </w:rPr>
        <w:t>，每周服药两次，两次服药间隔不应少于</w:t>
      </w:r>
      <w:r>
        <w:rPr>
          <w:rFonts w:ascii="仿宋" w:hAnsi="仿宋" w:eastAsia="仿宋" w:cs="仿宋"/>
          <w:color w:val="000000"/>
          <w:sz w:val="32"/>
          <w:szCs w:val="32"/>
        </w:rPr>
        <w:t>3</w:t>
      </w:r>
      <w:r>
        <w:rPr>
          <w:rFonts w:hint="eastAsia" w:ascii="仿宋" w:hAnsi="仿宋" w:eastAsia="仿宋" w:cs="仿宋"/>
          <w:color w:val="000000"/>
          <w:sz w:val="32"/>
          <w:szCs w:val="32"/>
        </w:rPr>
        <w:t>天（如周一和周四、周二和周五、周三和周六等），早餐后</w:t>
      </w:r>
      <w:r>
        <w:rPr>
          <w:rFonts w:ascii="仿宋" w:hAnsi="仿宋" w:eastAsia="仿宋" w:cs="仿宋"/>
          <w:color w:val="000000"/>
          <w:sz w:val="32"/>
          <w:szCs w:val="32"/>
        </w:rPr>
        <w:t>30</w:t>
      </w:r>
      <w:r>
        <w:rPr>
          <w:rFonts w:hint="eastAsia" w:ascii="仿宋" w:hAnsi="仿宋" w:eastAsia="仿宋" w:cs="仿宋"/>
          <w:color w:val="000000"/>
          <w:sz w:val="32"/>
          <w:szCs w:val="32"/>
        </w:rPr>
        <w:t>分钟服用。若病情未进展或未出现不能耐受的不良反应，建议持续服药。</w:t>
      </w:r>
    </w:p>
    <w:p>
      <w:pPr>
        <w:spacing w:line="360" w:lineRule="auto"/>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剂量调整：</w:t>
      </w:r>
      <w:r>
        <w:rPr>
          <w:rFonts w:ascii="仿宋" w:hAnsi="仿宋" w:eastAsia="仿宋" w:cs="仿宋"/>
          <w:color w:val="000000"/>
          <w:sz w:val="32"/>
          <w:szCs w:val="32"/>
        </w:rPr>
        <w:t>3</w:t>
      </w:r>
      <w:r>
        <w:rPr>
          <w:rFonts w:hint="eastAsia" w:ascii="仿宋" w:hAnsi="仿宋" w:eastAsia="仿宋" w:cs="仿宋"/>
          <w:color w:val="000000"/>
          <w:sz w:val="32"/>
          <w:szCs w:val="32"/>
        </w:rPr>
        <w:t>级或</w:t>
      </w:r>
      <w:r>
        <w:rPr>
          <w:rFonts w:ascii="仿宋" w:hAnsi="仿宋" w:eastAsia="仿宋" w:cs="仿宋"/>
          <w:color w:val="000000"/>
          <w:sz w:val="32"/>
          <w:szCs w:val="32"/>
        </w:rPr>
        <w:t>4</w:t>
      </w:r>
      <w:r>
        <w:rPr>
          <w:rFonts w:hint="eastAsia" w:ascii="仿宋" w:hAnsi="仿宋" w:eastAsia="仿宋" w:cs="仿宋"/>
          <w:color w:val="000000"/>
          <w:sz w:val="32"/>
          <w:szCs w:val="32"/>
        </w:rPr>
        <w:t>级中性粒细胞减少（中性粒细胞计数＜</w:t>
      </w:r>
      <w:r>
        <w:rPr>
          <w:rFonts w:ascii="仿宋" w:hAnsi="仿宋" w:eastAsia="仿宋" w:cs="仿宋"/>
          <w:color w:val="000000"/>
          <w:sz w:val="32"/>
          <w:szCs w:val="32"/>
        </w:rPr>
        <w:t>1.0</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）、血小板减少（血小板计数＜</w:t>
      </w:r>
      <w:r>
        <w:rPr>
          <w:rFonts w:ascii="仿宋" w:hAnsi="仿宋" w:eastAsia="仿宋" w:cs="仿宋"/>
          <w:color w:val="000000"/>
          <w:sz w:val="32"/>
          <w:szCs w:val="32"/>
        </w:rPr>
        <w:t>50.0</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）、贫血（血红蛋白降低至</w:t>
      </w:r>
      <w:bookmarkStart w:id="1" w:name="_Hlk59362033"/>
      <w:r>
        <w:rPr>
          <w:rFonts w:hint="eastAsia" w:ascii="仿宋" w:hAnsi="仿宋" w:eastAsia="仿宋" w:cs="仿宋"/>
          <w:color w:val="000000"/>
          <w:sz w:val="32"/>
          <w:szCs w:val="32"/>
        </w:rPr>
        <w:t>＜</w:t>
      </w:r>
      <w:bookmarkEnd w:id="1"/>
      <w:r>
        <w:rPr>
          <w:rFonts w:ascii="仿宋" w:hAnsi="仿宋" w:eastAsia="仿宋" w:cs="仿宋"/>
          <w:color w:val="000000"/>
          <w:sz w:val="32"/>
          <w:szCs w:val="32"/>
        </w:rPr>
        <w:t>8.0g/dl</w:t>
      </w:r>
      <w:r>
        <w:rPr>
          <w:rFonts w:hint="eastAsia" w:ascii="仿宋" w:hAnsi="仿宋" w:eastAsia="仿宋" w:cs="仿宋"/>
          <w:color w:val="000000"/>
          <w:sz w:val="32"/>
          <w:szCs w:val="32"/>
        </w:rPr>
        <w:t>）时，暂停用药。待中性粒细胞绝对值恢复至≥</w:t>
      </w:r>
      <w:r>
        <w:rPr>
          <w:rFonts w:ascii="仿宋" w:hAnsi="仿宋" w:eastAsia="仿宋" w:cs="仿宋"/>
          <w:color w:val="000000"/>
          <w:sz w:val="32"/>
          <w:szCs w:val="32"/>
        </w:rPr>
        <w:t>1.5</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、血小板恢复至≥</w:t>
      </w:r>
      <w:r>
        <w:rPr>
          <w:rFonts w:ascii="仿宋" w:hAnsi="仿宋" w:eastAsia="仿宋" w:cs="仿宋"/>
          <w:color w:val="000000"/>
          <w:sz w:val="32"/>
          <w:szCs w:val="32"/>
        </w:rPr>
        <w:t>75.0</w:t>
      </w:r>
      <w:r>
        <w:rPr>
          <w:rFonts w:hint="eastAsia" w:ascii="仿宋" w:hAnsi="仿宋" w:eastAsia="仿宋" w:cs="仿宋"/>
          <w:color w:val="000000"/>
          <w:sz w:val="32"/>
          <w:szCs w:val="32"/>
        </w:rPr>
        <w:t>×</w:t>
      </w:r>
      <w:r>
        <w:rPr>
          <w:rFonts w:ascii="仿宋" w:hAnsi="仿宋" w:eastAsia="仿宋" w:cs="仿宋"/>
          <w:color w:val="000000"/>
          <w:sz w:val="32"/>
          <w:szCs w:val="32"/>
        </w:rPr>
        <w:t>10</w:t>
      </w:r>
      <w:r>
        <w:rPr>
          <w:rFonts w:ascii="仿宋" w:hAnsi="仿宋" w:eastAsia="仿宋" w:cs="仿宋"/>
          <w:color w:val="000000"/>
          <w:sz w:val="32"/>
          <w:szCs w:val="32"/>
          <w:vertAlign w:val="superscript"/>
        </w:rPr>
        <w:t>9</w:t>
      </w:r>
      <w:r>
        <w:rPr>
          <w:rFonts w:ascii="仿宋" w:hAnsi="仿宋" w:eastAsia="仿宋" w:cs="仿宋"/>
          <w:color w:val="000000"/>
          <w:sz w:val="32"/>
          <w:szCs w:val="32"/>
        </w:rPr>
        <w:t>/L</w:t>
      </w:r>
      <w:r>
        <w:rPr>
          <w:rFonts w:hint="eastAsia" w:ascii="仿宋" w:hAnsi="仿宋" w:eastAsia="仿宋" w:cs="仿宋"/>
          <w:color w:val="000000"/>
          <w:sz w:val="32"/>
          <w:szCs w:val="32"/>
        </w:rPr>
        <w:t>、血红蛋白恢复至≥</w:t>
      </w:r>
      <w:r>
        <w:rPr>
          <w:rFonts w:ascii="仿宋" w:hAnsi="仿宋" w:eastAsia="仿宋" w:cs="仿宋"/>
          <w:color w:val="000000"/>
          <w:sz w:val="32"/>
          <w:szCs w:val="32"/>
        </w:rPr>
        <w:t>9.0g/dl</w:t>
      </w:r>
      <w:r>
        <w:rPr>
          <w:rFonts w:hint="eastAsia" w:ascii="仿宋" w:hAnsi="仿宋" w:eastAsia="仿宋" w:cs="仿宋"/>
          <w:color w:val="000000"/>
          <w:sz w:val="32"/>
          <w:szCs w:val="32"/>
        </w:rPr>
        <w:t>，并经连续两次检查确认，可继续治疗。如之前的不良反应为</w:t>
      </w:r>
      <w:r>
        <w:rPr>
          <w:rFonts w:ascii="仿宋" w:hAnsi="仿宋" w:eastAsia="仿宋" w:cs="仿宋"/>
          <w:color w:val="000000"/>
          <w:sz w:val="32"/>
          <w:szCs w:val="32"/>
        </w:rPr>
        <w:t>3</w:t>
      </w:r>
      <w:r>
        <w:rPr>
          <w:rFonts w:hint="eastAsia" w:ascii="仿宋" w:hAnsi="仿宋" w:eastAsia="仿宋" w:cs="仿宋"/>
          <w:color w:val="000000"/>
          <w:sz w:val="32"/>
          <w:szCs w:val="32"/>
        </w:rPr>
        <w:t>级，恢复用药时可采用原剂量或剂量降低至</w:t>
      </w:r>
      <w:r>
        <w:rPr>
          <w:rFonts w:ascii="仿宋" w:hAnsi="仿宋" w:eastAsia="仿宋" w:cs="仿宋"/>
          <w:color w:val="000000"/>
          <w:sz w:val="32"/>
          <w:szCs w:val="32"/>
        </w:rPr>
        <w:t>20mg/</w:t>
      </w:r>
      <w:r>
        <w:rPr>
          <w:rFonts w:hint="eastAsia" w:ascii="仿宋" w:hAnsi="仿宋" w:eastAsia="仿宋" w:cs="仿宋"/>
          <w:color w:val="000000"/>
          <w:sz w:val="32"/>
          <w:szCs w:val="32"/>
        </w:rPr>
        <w:t>次；如之前的不良反应为</w:t>
      </w:r>
      <w:r>
        <w:rPr>
          <w:rFonts w:ascii="仿宋" w:hAnsi="仿宋" w:eastAsia="仿宋" w:cs="仿宋"/>
          <w:color w:val="000000"/>
          <w:sz w:val="32"/>
          <w:szCs w:val="32"/>
        </w:rPr>
        <w:t>4</w:t>
      </w:r>
      <w:r>
        <w:rPr>
          <w:rFonts w:hint="eastAsia" w:ascii="仿宋" w:hAnsi="仿宋" w:eastAsia="仿宋" w:cs="仿宋"/>
          <w:color w:val="000000"/>
          <w:sz w:val="32"/>
          <w:szCs w:val="32"/>
        </w:rPr>
        <w:t>级，恢复用药时剂量应降低至</w:t>
      </w:r>
      <w:r>
        <w:rPr>
          <w:rFonts w:ascii="仿宋" w:hAnsi="仿宋" w:eastAsia="仿宋" w:cs="仿宋"/>
          <w:color w:val="000000"/>
          <w:sz w:val="32"/>
          <w:szCs w:val="32"/>
        </w:rPr>
        <w:t>20mg/</w:t>
      </w:r>
      <w:r>
        <w:rPr>
          <w:rFonts w:hint="eastAsia" w:ascii="仿宋" w:hAnsi="仿宋" w:eastAsia="仿宋" w:cs="仿宋"/>
          <w:color w:val="000000"/>
          <w:sz w:val="32"/>
          <w:szCs w:val="32"/>
        </w:rPr>
        <w:t>次。</w:t>
      </w:r>
    </w:p>
    <w:p>
      <w:pPr>
        <w:spacing w:line="360" w:lineRule="auto"/>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3.</w:t>
      </w:r>
      <w:r>
        <w:rPr>
          <w:rFonts w:hint="eastAsia" w:ascii="仿宋" w:hAnsi="仿宋" w:eastAsia="仿宋" w:cs="仿宋"/>
          <w:color w:val="000000"/>
          <w:sz w:val="32"/>
          <w:szCs w:val="32"/>
        </w:rPr>
        <w:t>常见不良反应有：血液学不良反应，包括血小板计数减少、白细胞或中性粒细胞计数减少、血红蛋白降低；全身不良反应，包括乏力、发热；胃肠道不良反应，包括腹泻、恶心和呕吐；代谢及营养系统不良反应，包括食欲下降、低钾血症和低钙血症；以及头晕、皮疹等；极少数患者心电图会出现</w:t>
      </w:r>
      <w:r>
        <w:rPr>
          <w:rFonts w:ascii="仿宋" w:hAnsi="仿宋" w:eastAsia="仿宋" w:cs="仿宋"/>
          <w:color w:val="000000"/>
          <w:sz w:val="32"/>
          <w:szCs w:val="32"/>
        </w:rPr>
        <w:t>QT</w:t>
      </w:r>
      <w:r>
        <w:rPr>
          <w:rFonts w:hint="eastAsia" w:ascii="仿宋" w:hAnsi="仿宋" w:eastAsia="仿宋" w:cs="仿宋"/>
          <w:color w:val="000000"/>
          <w:sz w:val="32"/>
          <w:szCs w:val="32"/>
        </w:rPr>
        <w:t>间期延长。</w:t>
      </w:r>
    </w:p>
    <w:p>
      <w:pPr>
        <w:spacing w:line="360" w:lineRule="auto"/>
        <w:ind w:firstLine="640" w:firstLineChars="200"/>
        <w:rPr>
          <w:rFonts w:ascii="仿宋" w:hAnsi="仿宋" w:eastAsia="仿宋" w:cs="Times New Roman"/>
          <w:color w:val="000000"/>
          <w:sz w:val="32"/>
          <w:szCs w:val="32"/>
        </w:rPr>
      </w:pPr>
      <w:r>
        <w:rPr>
          <w:rFonts w:ascii="仿宋" w:hAnsi="仿宋" w:eastAsia="仿宋" w:cs="仿宋"/>
          <w:color w:val="000000"/>
          <w:sz w:val="32"/>
          <w:szCs w:val="32"/>
        </w:rPr>
        <w:t>4.</w:t>
      </w:r>
      <w:r>
        <w:rPr>
          <w:rFonts w:hint="eastAsia" w:ascii="仿宋" w:hAnsi="仿宋" w:eastAsia="仿宋" w:cs="仿宋"/>
          <w:color w:val="000000"/>
          <w:sz w:val="32"/>
          <w:szCs w:val="32"/>
        </w:rPr>
        <w:t>妊娠期女性患者、严重心功能不全患者（</w:t>
      </w:r>
      <w:r>
        <w:rPr>
          <w:rFonts w:ascii="仿宋" w:hAnsi="仿宋" w:eastAsia="仿宋" w:cs="仿宋"/>
          <w:color w:val="000000"/>
          <w:sz w:val="32"/>
          <w:szCs w:val="32"/>
        </w:rPr>
        <w:t>NYHA</w:t>
      </w:r>
      <w:r>
        <w:rPr>
          <w:rFonts w:hint="eastAsia" w:ascii="仿宋" w:hAnsi="仿宋" w:eastAsia="仿宋" w:cs="仿宋"/>
          <w:color w:val="000000"/>
          <w:sz w:val="32"/>
          <w:szCs w:val="32"/>
        </w:rPr>
        <w:t xml:space="preserve">心功能不全分级Ⅳ级）禁用。 </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八、硼替佐米 B</w:t>
      </w:r>
      <w:r>
        <w:rPr>
          <w:rFonts w:ascii="黑体" w:hAnsi="黑体" w:eastAsia="黑体" w:cs="黑体"/>
          <w:sz w:val="32"/>
          <w:szCs w:val="32"/>
        </w:rPr>
        <w:t>ortezomib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注射剂：</w:t>
      </w:r>
      <w:r>
        <w:rPr>
          <w:rFonts w:ascii="仿宋" w:hAnsi="仿宋" w:eastAsia="仿宋" w:cs="仿宋"/>
          <w:sz w:val="32"/>
          <w:szCs w:val="32"/>
        </w:rPr>
        <w:t>1mg</w:t>
      </w:r>
      <w:r>
        <w:rPr>
          <w:rFonts w:hint="eastAsia" w:ascii="仿宋" w:hAnsi="仿宋" w:eastAsia="仿宋" w:cs="仿宋"/>
          <w:sz w:val="32"/>
          <w:szCs w:val="32"/>
        </w:rPr>
        <w:t>、</w:t>
      </w:r>
      <w:r>
        <w:rPr>
          <w:rFonts w:ascii="仿宋" w:hAnsi="仿宋" w:eastAsia="仿宋" w:cs="仿宋"/>
          <w:sz w:val="32"/>
          <w:szCs w:val="32"/>
        </w:rPr>
        <w:t xml:space="preserve">3.5mg </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复发或难治性套细胞淋巴瘤或既往未经治疗的且不适合接受造血干细胞栘植的套细胞淋巴瘤成人患者。</w:t>
      </w:r>
    </w:p>
    <w:p>
      <w:pPr>
        <w:spacing w:line="360" w:lineRule="auto"/>
        <w:ind w:firstLine="640" w:firstLineChars="200"/>
        <w:rPr>
          <w:rFonts w:ascii="仿宋" w:hAnsi="仿宋" w:eastAsia="仿宋" w:cs="Times New Roman"/>
          <w:b/>
          <w:bCs/>
          <w:sz w:val="32"/>
          <w:szCs w:val="32"/>
        </w:rPr>
      </w:pPr>
      <w:r>
        <w:rPr>
          <w:rFonts w:ascii="仿宋" w:hAnsi="仿宋" w:eastAsia="仿宋" w:cs="仿宋"/>
          <w:sz w:val="32"/>
          <w:szCs w:val="32"/>
        </w:rPr>
        <w:t>2.</w:t>
      </w:r>
      <w:r>
        <w:rPr>
          <w:rFonts w:hint="eastAsia" w:ascii="仿宋" w:hAnsi="仿宋" w:eastAsia="仿宋" w:cs="仿宋"/>
          <w:sz w:val="32"/>
          <w:szCs w:val="32"/>
        </w:rPr>
        <w:t>初治及复发难治性多发性骨髓瘤。</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hint="eastAsia" w:ascii="仿宋" w:hAnsi="仿宋" w:eastAsia="仿宋" w:cs="仿宋"/>
          <w:bCs/>
          <w:sz w:val="32"/>
          <w:szCs w:val="32"/>
        </w:rPr>
        <w:t>1.</w:t>
      </w:r>
      <w:r>
        <w:rPr>
          <w:rFonts w:hint="eastAsia" w:ascii="仿宋" w:hAnsi="仿宋" w:eastAsia="仿宋" w:cs="仿宋"/>
          <w:sz w:val="32"/>
          <w:szCs w:val="32"/>
        </w:rPr>
        <w:t>在接受本品治疗的患者中，应考虑抗病毒药物的预防治疗，降低带状疱疹再激活的风险。</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2.本品含有甘露醇，在患者初次试用药物时，需要询问过敏史及既往病史，警惕高肿瘤负荷患者发生肿瘤溶解综合征。</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3.计算给药体积需仔细。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4.药物具有细胞毒性，配制时需要戴手套和防护用品，避免皮肤直接接触。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肾功能损伤患者使用无需减量，进行透析的患者应在透析后使用。</w:t>
      </w:r>
    </w:p>
    <w:p>
      <w:pPr>
        <w:spacing w:line="360" w:lineRule="auto"/>
        <w:ind w:firstLine="640" w:firstLineChars="200"/>
        <w:rPr>
          <w:rFonts w:ascii="仿宋" w:hAnsi="仿宋" w:eastAsia="仿宋" w:cs="仿宋"/>
          <w:b/>
          <w:bCs/>
          <w:sz w:val="32"/>
          <w:szCs w:val="32"/>
        </w:rPr>
      </w:pPr>
      <w:r>
        <w:rPr>
          <w:rFonts w:hint="eastAsia" w:ascii="仿宋" w:hAnsi="仿宋" w:eastAsia="仿宋" w:cs="仿宋"/>
          <w:sz w:val="32"/>
          <w:szCs w:val="32"/>
        </w:rPr>
        <w:t>6.不良反应包括神经系统症状（包括肠梗阻）、病毒激活、血液系统骨髓抑制等，少见情况还可以出现急性肺损伤、胰腺炎等。</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不推荐联用强效的</w:t>
      </w:r>
      <w:r>
        <w:rPr>
          <w:rFonts w:ascii="仿宋" w:hAnsi="仿宋" w:eastAsia="仿宋" w:cs="仿宋"/>
          <w:sz w:val="32"/>
          <w:szCs w:val="32"/>
        </w:rPr>
        <w:t>CYP3A4</w:t>
      </w:r>
      <w:r>
        <w:rPr>
          <w:rFonts w:hint="eastAsia" w:ascii="仿宋" w:hAnsi="仿宋" w:eastAsia="仿宋" w:cs="仿宋"/>
          <w:sz w:val="32"/>
          <w:szCs w:val="32"/>
        </w:rPr>
        <w:t>抑制剂。如果无法避免合并用药，则应对毒性反应进行密切监测。</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硼替佐米皮下注射具有与静脉推注同样的疗效，且神经病变发生率更低。</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9</w:t>
      </w:r>
      <w:r>
        <w:rPr>
          <w:rFonts w:ascii="仿宋" w:hAnsi="仿宋" w:eastAsia="仿宋" w:cs="仿宋"/>
          <w:sz w:val="32"/>
          <w:szCs w:val="32"/>
        </w:rPr>
        <w:t>.</w:t>
      </w:r>
      <w:r>
        <w:rPr>
          <w:rFonts w:hint="eastAsia" w:ascii="仿宋" w:hAnsi="仿宋" w:eastAsia="仿宋" w:cs="仿宋"/>
          <w:sz w:val="32"/>
          <w:szCs w:val="32"/>
        </w:rPr>
        <w:t>多发性骨髓瘤需要具有治疗指征，即以下其中之一：肾功能异常、血钙升高、贫血及骨质破坏、血清游离轻链比值大于</w:t>
      </w:r>
      <w:r>
        <w:rPr>
          <w:rFonts w:ascii="仿宋" w:hAnsi="仿宋" w:eastAsia="仿宋" w:cs="仿宋"/>
          <w:sz w:val="32"/>
          <w:szCs w:val="32"/>
        </w:rPr>
        <w:t>100</w:t>
      </w:r>
      <w:r>
        <w:rPr>
          <w:rFonts w:hint="eastAsia" w:ascii="仿宋" w:hAnsi="仿宋" w:eastAsia="仿宋" w:cs="仿宋"/>
          <w:sz w:val="32"/>
          <w:szCs w:val="32"/>
        </w:rPr>
        <w:t>、骨髓中克隆浆细胞大于</w:t>
      </w:r>
      <w:r>
        <w:rPr>
          <w:rFonts w:ascii="仿宋" w:hAnsi="仿宋" w:eastAsia="仿宋" w:cs="仿宋"/>
          <w:sz w:val="32"/>
          <w:szCs w:val="32"/>
        </w:rPr>
        <w:t>60%</w:t>
      </w:r>
      <w:r>
        <w:rPr>
          <w:rFonts w:hint="eastAsia" w:ascii="仿宋" w:hAnsi="仿宋" w:eastAsia="仿宋" w:cs="仿宋"/>
          <w:sz w:val="32"/>
          <w:szCs w:val="32"/>
        </w:rPr>
        <w:t>、核磁证实</w:t>
      </w:r>
      <w:r>
        <w:rPr>
          <w:rFonts w:ascii="仿宋" w:hAnsi="仿宋" w:eastAsia="仿宋" w:cs="仿宋"/>
          <w:sz w:val="32"/>
          <w:szCs w:val="32"/>
        </w:rPr>
        <w:t>2</w:t>
      </w:r>
      <w:r>
        <w:rPr>
          <w:rFonts w:hint="eastAsia" w:ascii="仿宋" w:hAnsi="仿宋" w:eastAsia="仿宋" w:cs="仿宋"/>
          <w:sz w:val="32"/>
          <w:szCs w:val="32"/>
        </w:rPr>
        <w:t>处或以上骨质破坏才需要治疗。不符合以上标准的冒烟性多发性骨髓瘤目前不建议进行治疗，包括硼替佐米的治疗。</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10</w:t>
      </w:r>
      <w:r>
        <w:rPr>
          <w:rFonts w:ascii="仿宋" w:hAnsi="仿宋" w:eastAsia="仿宋" w:cs="仿宋"/>
          <w:sz w:val="32"/>
          <w:szCs w:val="32"/>
        </w:rPr>
        <w:t>.</w:t>
      </w:r>
      <w:r>
        <w:rPr>
          <w:rFonts w:hint="eastAsia" w:ascii="仿宋" w:hAnsi="仿宋" w:eastAsia="仿宋" w:cs="仿宋"/>
          <w:sz w:val="32"/>
          <w:szCs w:val="32"/>
        </w:rPr>
        <w:t>硼替佐米应用于初治套细胞淋巴瘤（</w:t>
      </w:r>
      <w:r>
        <w:rPr>
          <w:rFonts w:ascii="仿宋" w:hAnsi="仿宋" w:eastAsia="仿宋" w:cs="仿宋"/>
          <w:sz w:val="32"/>
          <w:szCs w:val="32"/>
        </w:rPr>
        <w:t>FDA</w:t>
      </w:r>
      <w:r>
        <w:rPr>
          <w:rFonts w:hint="eastAsia" w:ascii="仿宋" w:hAnsi="仿宋" w:eastAsia="仿宋" w:cs="仿宋"/>
          <w:sz w:val="32"/>
          <w:szCs w:val="32"/>
        </w:rPr>
        <w:t>已获批，基于</w:t>
      </w:r>
      <w:r>
        <w:rPr>
          <w:rFonts w:ascii="仿宋" w:hAnsi="仿宋" w:eastAsia="仿宋" w:cs="仿宋"/>
          <w:sz w:val="32"/>
          <w:szCs w:val="32"/>
        </w:rPr>
        <w:t>LYM-3002</w:t>
      </w:r>
      <w:r>
        <w:rPr>
          <w:rFonts w:hint="eastAsia" w:ascii="仿宋" w:hAnsi="仿宋" w:eastAsia="仿宋" w:cs="仿宋"/>
          <w:sz w:val="32"/>
          <w:szCs w:val="32"/>
        </w:rPr>
        <w:t>研究）。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11</w:t>
      </w:r>
      <w:r>
        <w:rPr>
          <w:rFonts w:ascii="仿宋" w:hAnsi="仿宋" w:eastAsia="仿宋" w:cs="仿宋"/>
          <w:sz w:val="32"/>
          <w:szCs w:val="32"/>
        </w:rPr>
        <w:t>.</w:t>
      </w:r>
      <w:r>
        <w:rPr>
          <w:rFonts w:hint="eastAsia" w:ascii="仿宋" w:hAnsi="仿宋" w:eastAsia="仿宋" w:cs="仿宋"/>
          <w:sz w:val="32"/>
          <w:szCs w:val="32"/>
        </w:rPr>
        <w:t>华氏巨球蛋白血症（</w:t>
      </w:r>
      <w:r>
        <w:rPr>
          <w:rFonts w:ascii="仿宋" w:hAnsi="仿宋" w:eastAsia="仿宋" w:cs="仿宋"/>
          <w:sz w:val="32"/>
          <w:szCs w:val="32"/>
        </w:rPr>
        <w:t>FDA</w:t>
      </w:r>
      <w:r>
        <w:rPr>
          <w:rFonts w:hint="eastAsia" w:ascii="仿宋" w:hAnsi="仿宋" w:eastAsia="仿宋" w:cs="仿宋"/>
          <w:sz w:val="32"/>
          <w:szCs w:val="32"/>
        </w:rPr>
        <w:t>已批准）。</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12</w:t>
      </w:r>
      <w:r>
        <w:rPr>
          <w:rFonts w:ascii="仿宋" w:hAnsi="仿宋" w:eastAsia="仿宋" w:cs="仿宋"/>
          <w:sz w:val="32"/>
          <w:szCs w:val="32"/>
        </w:rPr>
        <w:t>.</w:t>
      </w:r>
      <w:r>
        <w:rPr>
          <w:rFonts w:hint="eastAsia" w:ascii="仿宋" w:hAnsi="仿宋" w:eastAsia="仿宋" w:cs="仿宋"/>
          <w:sz w:val="32"/>
          <w:szCs w:val="32"/>
        </w:rPr>
        <w:t>其他罕见浆细胞病，如轻链淀粉样变性、</w:t>
      </w:r>
      <w:r>
        <w:rPr>
          <w:rFonts w:ascii="仿宋" w:hAnsi="仿宋" w:eastAsia="仿宋" w:cs="仿宋"/>
          <w:sz w:val="32"/>
          <w:szCs w:val="32"/>
        </w:rPr>
        <w:t>POEMS</w:t>
      </w:r>
      <w:r>
        <w:rPr>
          <w:rFonts w:hint="eastAsia" w:ascii="仿宋" w:hAnsi="仿宋" w:eastAsia="仿宋" w:cs="仿宋"/>
          <w:sz w:val="32"/>
          <w:szCs w:val="32"/>
        </w:rPr>
        <w:t>（仅Ⅰ～Ⅱ期数据）、</w:t>
      </w:r>
      <w:r>
        <w:rPr>
          <w:rFonts w:ascii="仿宋" w:hAnsi="仿宋" w:eastAsia="仿宋" w:cs="仿宋"/>
          <w:sz w:val="32"/>
          <w:szCs w:val="32"/>
        </w:rPr>
        <w:t>MGRS</w:t>
      </w:r>
      <w:r>
        <w:rPr>
          <w:rFonts w:hint="eastAsia" w:ascii="仿宋" w:hAnsi="仿宋" w:eastAsia="仿宋" w:cs="仿宋"/>
          <w:sz w:val="32"/>
          <w:szCs w:val="32"/>
        </w:rPr>
        <w:t>（意义未明单</w:t>
      </w:r>
      <w:r>
        <w:rPr>
          <w:rFonts w:hint="eastAsia" w:ascii="仿宋" w:hAnsi="仿宋" w:eastAsia="仿宋" w:cs="仿宋"/>
          <w:w w:val="98"/>
          <w:sz w:val="32"/>
          <w:szCs w:val="32"/>
        </w:rPr>
        <w:t>克隆免疫球蛋白血症伴肾脏损伤，仅有Ⅰ～Ⅱ期数据）等治疗。</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九、信迪利单抗 S</w:t>
      </w:r>
      <w:r>
        <w:rPr>
          <w:rFonts w:ascii="黑体" w:hAnsi="黑体" w:eastAsia="黑体"/>
          <w:color w:val="000000"/>
          <w:sz w:val="32"/>
          <w:szCs w:val="32"/>
        </w:rPr>
        <w:t>intilimab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s="仿宋"/>
          <w:sz w:val="32"/>
          <w:szCs w:val="32"/>
        </w:rPr>
        <w:t>注射液：</w:t>
      </w:r>
      <w:r>
        <w:rPr>
          <w:rFonts w:ascii="仿宋" w:hAnsi="仿宋" w:eastAsia="仿宋" w:cs="仿宋"/>
          <w:sz w:val="32"/>
          <w:szCs w:val="32"/>
        </w:rPr>
        <w:t>100mg</w:t>
      </w:r>
      <w:r>
        <w:rPr>
          <w:rFonts w:hint="eastAsia" w:ascii="仿宋" w:hAnsi="仿宋" w:eastAsia="仿宋" w:cs="仿宋"/>
          <w:sz w:val="32"/>
          <w:szCs w:val="32"/>
        </w:rPr>
        <w:t>（10</w:t>
      </w:r>
      <w:r>
        <w:rPr>
          <w:rFonts w:ascii="仿宋" w:hAnsi="仿宋" w:eastAsia="仿宋" w:cs="仿宋"/>
          <w:sz w:val="32"/>
          <w:szCs w:val="32"/>
        </w:rPr>
        <w:t>ml</w:t>
      </w:r>
      <w:r>
        <w:rPr>
          <w:rFonts w:hint="eastAsia" w:ascii="仿宋" w:hAnsi="仿宋" w:eastAsia="仿宋" w:cs="仿宋"/>
          <w:sz w:val="32"/>
          <w:szCs w:val="32"/>
        </w:rPr>
        <w:t>）</w:t>
      </w:r>
      <w:r>
        <w:rPr>
          <w:rFonts w:ascii="仿宋" w:hAnsi="仿宋" w:eastAsia="仿宋" w:cs="仿宋"/>
          <w:sz w:val="32"/>
          <w:szCs w:val="32"/>
        </w:rPr>
        <w:t>/</w:t>
      </w:r>
      <w:r>
        <w:rPr>
          <w:rFonts w:hint="eastAsia" w:ascii="仿宋" w:hAnsi="仿宋" w:eastAsia="仿宋" w:cs="仿宋"/>
          <w:sz w:val="32"/>
          <w:szCs w:val="32"/>
        </w:rPr>
        <w:t>瓶</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本品适用于至少经过二线系统化疗的复发或难治经典型霍奇金淋巴瘤的治疗。</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 xml:space="preserve">合理用药要点： </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1.用药前必须明确诊断为经典型霍奇金淋巴瘤。</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2.应该按照相关疾病指南，治疗前做基线评估，治疗期间定期监测治疗反应及毒性。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3.本品采用静脉输注的方式给药，静脉输注的推荐剂量为200mg，每3周给药一次，直至疾病进展或出现不可接受的毒性。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有可能观察到非典型反应（例如最初几个月内肿瘤暂时增大或出现新的病灶，随后肿瘤缩小）。如果患者临床症状稳定或持续减轻，即使有疾病进展的初步证据，基于总体临床获益的判断，可考虑继续应用本品治疗，直至证实疾病进展。</w:t>
      </w:r>
    </w:p>
    <w:p>
      <w:pPr>
        <w:ind w:firstLine="640" w:firstLineChars="200"/>
        <w:rPr>
          <w:rFonts w:ascii="仿宋" w:hAnsi="仿宋" w:eastAsia="仿宋"/>
          <w:b/>
          <w:color w:val="000000"/>
          <w:sz w:val="32"/>
          <w:szCs w:val="32"/>
        </w:rPr>
      </w:pPr>
      <w:r>
        <w:rPr>
          <w:rFonts w:hint="eastAsia" w:ascii="仿宋" w:hAnsi="仿宋" w:eastAsia="仿宋"/>
          <w:color w:val="000000"/>
          <w:sz w:val="32"/>
          <w:szCs w:val="32"/>
        </w:rPr>
        <w:t>5.如出现免疫相关性不良反应，根据个体患者的安全性和耐受性，可能需要暂停给药或永久停药。不建议增加</w:t>
      </w:r>
      <w:r>
        <w:rPr>
          <w:rFonts w:hint="eastAsia" w:ascii="仿宋" w:hAnsi="仿宋" w:eastAsia="仿宋"/>
          <w:color w:val="000000"/>
          <w:w w:val="96"/>
          <w:sz w:val="32"/>
          <w:szCs w:val="32"/>
        </w:rPr>
        <w:t>或减少剂量。有关暂停给药和永久停药的指南，详见附表1所述。</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6.目前本品尚无针对中重度肝功能损伤患者的研究数据，轻度肝功能损伤患者应在医生指导下慎用本品，如需使用，无需进行计量调整；中重度肝功能损伤患者不推荐使用。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7.目前本品尚无针对中重度肾功能损伤患者的研究数据，轻度肾功能损伤患者应在医生指导下慎用本品，如需使用，无需进行剂量调整；中重度肾功能损伤患者不推荐使用。</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接受本品治疗的霍奇金淋巴瘤患者最常见的不良反应（≥10%）包括发热、甲状腺功能减退症、体重增加、肺炎、上呼吸道感染、皮疹、贫血、咳嗽。最常见的3级以上的不良反应包括体重增加、贫血、输液反应、呼吸道感染、感染性肺炎、免疫相关性肺炎。</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9.本品尚无在18岁以下儿童及青少年中的安全性和有效性数据。</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10.本品在≥65岁的老年患者中应用数据有限，建议在医生的指导下慎用，如需使用，无需进行剂量调整。</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11.不建议在妊娠期间使用本品治疗。</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12.因可能干扰本品药效学活性，应避免在开始本品治疗前使用全身性糖皮质激素及其他免疫抑制剂。但是如果为了治疗免疫相关性不良反应，可在开始本品治疗后使用全身糖皮质激素及其他免疫抑制剂。</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w:t>
      </w:r>
      <w:r>
        <w:rPr>
          <w:rFonts w:ascii="黑体" w:hAnsi="黑体" w:eastAsia="黑体"/>
          <w:color w:val="000000"/>
          <w:sz w:val="32"/>
          <w:szCs w:val="32"/>
        </w:rPr>
        <w:t>卡瑞利珠单抗</w:t>
      </w:r>
      <w:r>
        <w:rPr>
          <w:rFonts w:hint="eastAsia" w:ascii="黑体" w:hAnsi="黑体" w:eastAsia="黑体"/>
          <w:color w:val="000000"/>
          <w:sz w:val="32"/>
          <w:szCs w:val="32"/>
        </w:rPr>
        <w:t>Camrelizumab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粉针剂：200mg/瓶</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本品适用于至少经过二线系统化疗的复发或难治经典型霍奇金淋巴瘤患者的治疗。</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1.用药前必须明确诊断为经典型霍奇金淋巴瘤。</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2.应该按照相关疾病指南，治疗前做基线评估，治疗期间定期监测治疗反应及毒性。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3.本品采用静脉输注的方式给药，静脉输注的推荐剂量为200mg，每2周给药一次，直至疾病进展或出现不可接受的毒性。</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4.有可能观察到非典型反应。如果患者临床症状稳定或持续减轻，即使有疾病进展的初步证据，基于总体临床获益的判断，可考虑继续应用本品治疗，直至证实疾病进展。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5.如出现免疫相关性不良反应，根据个体患者的安全性和耐受性，可能需要暂停给药或永久停药。不建议增加或减少剂量。有关暂停给药和永久停药的指南，详见附表1所述。</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6.目前本品尚无针对中重度肝功能损伤患者的研究数据，中重度肝功能损伤患者不推荐使用。轻度肝功能损伤患者应在医生指导下慎用本品，如需使用，无需进行剂量调整。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7.目前本品尚无针对中重度肾功能损伤患者的研究数据，中重度肾功能损伤患者不推荐使用。轻度肾功能损伤患者应在医生指导下慎用本品，如需使用，无需进行剂量调整。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接受本药治疗的HL患者最常见的不良反应（≥10%）包括皮肤反应性毛细血管增生症、发热、甲状腺功能减退、上呼吸道感染、贫血、输液相关反应、咳嗽、口腔反应性毛细血管增生症、鼻咽炎、瘙痒症。最常见的3级以上的不良反应（≥2%）包括淋巴细胞计数降低、白细胞计数降低、中性粒细胞计数降低、γ-谷氨酰转移酶升高、带状疱疹、肺部炎症。</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9.本品尚无在18岁以下儿童及青少年中的安全性和有效性数据。</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10.本品在≥65岁的老年患者中应用数据有限，建议在医生的指导下慎用，如需使用，无需进行剂量调整。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11.不建议在妊娠期间使用本品治疗。</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12.因可能干扰本品药效学活性，应避免在开始本品治疗前使用全身性糖皮质激素及其他免疫抑制剂。但是如果为了治疗免疫相关性不良反应，可在开始本品治疗后使用全身糖皮质激素及其他免疫抑制剂。</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13.反应性毛细血管增生症的处理：在接受本品治疗的患者中，共731例（74.1%）发生反应性毛细血管增生症。反应性毛细血管增生症，大多发生在体表皮肤，少数可见于口腔黏膜、鼻腔黏膜以及眼睑结膜。发生于皮肤的反应性毛细血管增生，初始多表现为体表鲜红色点状物，直径≤2mm，随着用药次数增加，病变范围可逐渐增大，多为结节状，也有斑片状，颜色鲜红或暗红，需观察临床症状和体征，可按附表2分级标准和治疗建议进行处理。</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当患者出现该不良反应时，应避免抓挠或摩擦，易摩擦部位可用纱布保护以避免出血，同时应联系主管医生，获得恰当的处理建议。破溃出血者可采用局部压迫止血，或采取如激光或手术切除等局部治疗；并发感染者应给予抗感染治疗。反应性毛细血管增生症可能在皮肤以外的其他组织发生（包括内脏器官），必要时进行相应的医学检查，如大便潜血、内窥镜及影像学检查（具体相关内容详见《反应性毛细血管增生症信息收集及风险管理计划》）。</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十一、替雷利珠单</w:t>
      </w:r>
      <w:r>
        <w:rPr>
          <w:rFonts w:ascii="黑体" w:hAnsi="黑体" w:eastAsia="黑体"/>
          <w:color w:val="000000"/>
          <w:sz w:val="32"/>
          <w:szCs w:val="32"/>
        </w:rPr>
        <w:t>抗T</w:t>
      </w:r>
      <w:r>
        <w:rPr>
          <w:rFonts w:hint="eastAsia" w:ascii="黑体" w:hAnsi="黑体" w:eastAsia="黑体"/>
          <w:color w:val="000000"/>
          <w:sz w:val="32"/>
          <w:szCs w:val="32"/>
        </w:rPr>
        <w:t>is</w:t>
      </w:r>
      <w:r>
        <w:rPr>
          <w:rFonts w:ascii="黑体" w:hAnsi="黑体" w:eastAsia="黑体"/>
          <w:color w:val="000000"/>
          <w:sz w:val="32"/>
          <w:szCs w:val="32"/>
        </w:rPr>
        <w:t>lelizumab</w:t>
      </w:r>
    </w:p>
    <w:p>
      <w:pPr>
        <w:spacing w:line="360" w:lineRule="auto"/>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注射液：</w:t>
      </w:r>
      <w:r>
        <w:rPr>
          <w:rFonts w:ascii="仿宋" w:hAnsi="仿宋" w:eastAsia="仿宋"/>
          <w:color w:val="000000"/>
          <w:sz w:val="32"/>
          <w:szCs w:val="32"/>
        </w:rPr>
        <w:t>1</w:t>
      </w:r>
      <w:r>
        <w:rPr>
          <w:rFonts w:hint="eastAsia" w:ascii="仿宋" w:hAnsi="仿宋" w:eastAsia="仿宋"/>
          <w:color w:val="000000"/>
          <w:sz w:val="32"/>
          <w:szCs w:val="32"/>
        </w:rPr>
        <w:t>00mg（10ml）/瓶</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.至少经过二线系统化疗的复发或难治性经典型霍奇金淋巴瘤的治疗。</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2</w:t>
      </w:r>
      <w:r>
        <w:rPr>
          <w:rFonts w:hint="eastAsia" w:ascii="仿宋" w:hAnsi="仿宋" w:eastAsia="仿宋"/>
          <w:bCs/>
          <w:color w:val="000000"/>
          <w:sz w:val="32"/>
          <w:szCs w:val="32"/>
        </w:rPr>
        <w:t>.适用于</w:t>
      </w:r>
      <w:r>
        <w:rPr>
          <w:rFonts w:ascii="仿宋" w:hAnsi="仿宋" w:eastAsia="仿宋"/>
          <w:bCs/>
          <w:color w:val="000000"/>
          <w:sz w:val="32"/>
          <w:szCs w:val="32"/>
        </w:rPr>
        <w:t>PD-L1</w:t>
      </w:r>
      <w:r>
        <w:rPr>
          <w:rFonts w:hint="eastAsia" w:ascii="仿宋" w:hAnsi="仿宋" w:eastAsia="仿宋"/>
          <w:bCs/>
          <w:color w:val="000000"/>
          <w:sz w:val="32"/>
          <w:szCs w:val="32"/>
        </w:rPr>
        <w:t>高表达的含铂化疗失败包括新辅助或辅助化疗</w:t>
      </w:r>
      <w:r>
        <w:rPr>
          <w:rFonts w:ascii="仿宋" w:hAnsi="仿宋" w:eastAsia="仿宋"/>
          <w:bCs/>
          <w:color w:val="000000"/>
          <w:sz w:val="32"/>
          <w:szCs w:val="32"/>
        </w:rPr>
        <w:t>12个月内进展的局部晚期或转移性尿路上皮癌的治疗。</w:t>
      </w:r>
    </w:p>
    <w:p>
      <w:pPr>
        <w:spacing w:line="360" w:lineRule="auto"/>
        <w:ind w:firstLine="643" w:firstLineChars="200"/>
        <w:rPr>
          <w:rFonts w:ascii="仿宋" w:hAnsi="仿宋" w:eastAsia="仿宋"/>
          <w:b/>
          <w:bCs/>
          <w:color w:val="000000"/>
          <w:sz w:val="32"/>
          <w:szCs w:val="32"/>
        </w:rPr>
      </w:pPr>
      <w:r>
        <w:rPr>
          <w:rFonts w:hint="eastAsia" w:ascii="仿宋" w:hAnsi="仿宋" w:eastAsia="仿宋"/>
          <w:b/>
          <w:bCs/>
          <w:color w:val="000000"/>
          <w:sz w:val="32"/>
          <w:szCs w:val="32"/>
        </w:rPr>
        <w:t>合理用药要点：</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1.应该按照相关疾病指南，治疗前做基线评估，治疗期间定期监测治疗反应及毒性。</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2.采用静脉输注的方式给药，静脉输注的推荐剂量为200mg，每3周给药一次，直至疾病进展或出现不可接受的毒性。</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3.有可能观察到非典型反应（例如最初几个月内肿瘤暂</w:t>
      </w:r>
      <w:r>
        <w:rPr>
          <w:rFonts w:hint="eastAsia" w:ascii="仿宋" w:hAnsi="仿宋" w:eastAsia="仿宋"/>
          <w:bCs/>
          <w:color w:val="000000"/>
          <w:sz w:val="32"/>
          <w:szCs w:val="32"/>
        </w:rPr>
        <w:t>时增大或出现新的病灶，随后肿瘤缩小）。如果患者临床症状稳定或持续减轻，即使有疾病进展的初步证据，基于总体临床获益的判断，可考虑继续应用本品治疗，直至证实疾病进展。</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4.</w:t>
      </w:r>
      <w:r>
        <w:rPr>
          <w:rFonts w:hint="eastAsia" w:ascii="仿宋" w:hAnsi="仿宋" w:eastAsia="仿宋"/>
          <w:color w:val="000000"/>
          <w:sz w:val="32"/>
          <w:szCs w:val="32"/>
        </w:rPr>
        <w:t>对于疑似免疫相关性不良反应，应进行充分的评估以确认病因或排除其他病因，</w:t>
      </w:r>
      <w:r>
        <w:rPr>
          <w:rFonts w:hint="eastAsia" w:ascii="仿宋" w:hAnsi="仿宋" w:eastAsia="仿宋"/>
          <w:bCs/>
          <w:color w:val="000000"/>
          <w:sz w:val="32"/>
          <w:szCs w:val="32"/>
        </w:rPr>
        <w:t>根据个体患者的安全性和耐受性，可能需要暂停给药或永久停药。不建议增加或减少剂量。有关暂停给药和永久停药的指南，详见附表</w:t>
      </w:r>
      <w:r>
        <w:rPr>
          <w:rFonts w:ascii="仿宋" w:hAnsi="仿宋" w:eastAsia="仿宋"/>
          <w:bCs/>
          <w:color w:val="000000"/>
          <w:sz w:val="32"/>
          <w:szCs w:val="32"/>
        </w:rPr>
        <w:t>1所述。</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5.目前尚无针对中重度肝功能不全患者的研究数据，中度或重度肝功能不全患者不推荐使用。轻度肝功能不全患者应在医生指导下慎用本品，如需使用，无需进行剂量调整。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6.目前尚无针对重度肾功能不全患者的研究数据，重度肾功能不全患者不推荐使用。轻度或中度肾功能不全患者应在医生指导下慎用本品，如需使用，无需进行剂量调整。</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7.建议哺乳期妇女在接受本品治疗期间及末次给药后至少5个月内停止哺乳。育龄期妇女在接受本品治疗期间，以及最后一次本品给药后至少5个月内应采用有效避孕措施。</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8.因可能干扰本品药效学活性，应避免在开始本品治疗前使用全身性糖皮质激素及其他免疫抑制剂。但是如果为了治疗免疫相关性不良反应，可在开始本品治疗后使用全身性糖皮质激素及其他免疫抑制剂。</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9.其他：单药治疗复发难治结外NK/T细胞淋巴瘤（仅有Ⅱ期临床研究数据）。单药治疗复发难治外周T细胞淋巴瘤（仅有Ⅱ期临床研究数据）。</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十二、泽布替尼</w:t>
      </w:r>
      <w:r>
        <w:rPr>
          <w:rFonts w:ascii="黑体" w:hAnsi="黑体" w:eastAsia="黑体"/>
          <w:color w:val="000000"/>
          <w:sz w:val="32"/>
          <w:szCs w:val="32"/>
        </w:rPr>
        <w:t>Z</w:t>
      </w:r>
      <w:r>
        <w:rPr>
          <w:rFonts w:hint="eastAsia" w:ascii="黑体" w:hAnsi="黑体" w:eastAsia="黑体"/>
          <w:color w:val="000000"/>
          <w:sz w:val="32"/>
          <w:szCs w:val="32"/>
        </w:rPr>
        <w:t>a</w:t>
      </w:r>
      <w:r>
        <w:rPr>
          <w:rFonts w:ascii="黑体" w:hAnsi="黑体" w:eastAsia="黑体"/>
          <w:color w:val="000000"/>
          <w:sz w:val="32"/>
          <w:szCs w:val="32"/>
        </w:rPr>
        <w:t>nubrutinib</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制剂与规格：</w:t>
      </w:r>
      <w:r>
        <w:rPr>
          <w:rFonts w:hint="eastAsia" w:ascii="仿宋" w:hAnsi="仿宋" w:eastAsia="仿宋"/>
          <w:bCs/>
          <w:color w:val="000000"/>
          <w:sz w:val="32"/>
          <w:szCs w:val="32"/>
        </w:rPr>
        <w:t>胶囊：</w:t>
      </w:r>
      <w:r>
        <w:rPr>
          <w:rFonts w:ascii="仿宋" w:hAnsi="仿宋" w:eastAsia="仿宋"/>
          <w:bCs/>
          <w:color w:val="000000"/>
          <w:sz w:val="32"/>
          <w:szCs w:val="32"/>
        </w:rPr>
        <w:t>80mg</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适应证：</w:t>
      </w:r>
    </w:p>
    <w:p>
      <w:pPr>
        <w:spacing w:line="360" w:lineRule="auto"/>
        <w:ind w:firstLine="640" w:firstLineChars="200"/>
        <w:rPr>
          <w:rFonts w:ascii="仿宋" w:hAnsi="仿宋" w:eastAsia="仿宋"/>
          <w:bCs/>
          <w:color w:val="000000"/>
          <w:sz w:val="32"/>
          <w:szCs w:val="32"/>
        </w:rPr>
      </w:pPr>
      <w:r>
        <w:rPr>
          <w:rFonts w:ascii="仿宋" w:hAnsi="仿宋" w:eastAsia="仿宋"/>
          <w:bCs/>
          <w:color w:val="000000"/>
          <w:sz w:val="32"/>
          <w:szCs w:val="32"/>
        </w:rPr>
        <w:t>1</w:t>
      </w:r>
      <w:r>
        <w:rPr>
          <w:rFonts w:hint="eastAsia" w:ascii="仿宋" w:hAnsi="仿宋" w:eastAsia="仿宋"/>
          <w:bCs/>
          <w:color w:val="000000"/>
          <w:sz w:val="32"/>
          <w:szCs w:val="32"/>
        </w:rPr>
        <w:t>．既往至少接受过一种治疗的成人套细胞淋巴瘤（</w:t>
      </w:r>
      <w:r>
        <w:rPr>
          <w:rFonts w:ascii="仿宋" w:hAnsi="仿宋" w:eastAsia="仿宋"/>
          <w:bCs/>
          <w:color w:val="000000"/>
          <w:sz w:val="32"/>
          <w:szCs w:val="32"/>
        </w:rPr>
        <w:t>MCL）患者。</w:t>
      </w:r>
    </w:p>
    <w:p>
      <w:pPr>
        <w:spacing w:line="360" w:lineRule="auto"/>
        <w:ind w:firstLine="640" w:firstLineChars="200"/>
        <w:rPr>
          <w:rFonts w:ascii="仿宋" w:hAnsi="仿宋" w:eastAsia="仿宋"/>
          <w:b/>
          <w:color w:val="000000"/>
          <w:sz w:val="32"/>
          <w:szCs w:val="32"/>
        </w:rPr>
      </w:pPr>
      <w:r>
        <w:rPr>
          <w:rFonts w:hint="eastAsia" w:ascii="仿宋" w:hAnsi="仿宋" w:eastAsia="仿宋"/>
          <w:bCs/>
          <w:color w:val="000000"/>
          <w:sz w:val="32"/>
          <w:szCs w:val="32"/>
        </w:rPr>
        <w:t>2.既往至少接受过一种治疗的成人慢性淋巴细胞白血病（</w:t>
      </w:r>
      <w:r>
        <w:rPr>
          <w:rFonts w:ascii="仿宋" w:hAnsi="仿宋" w:eastAsia="仿宋"/>
          <w:bCs/>
          <w:color w:val="000000"/>
          <w:sz w:val="32"/>
          <w:szCs w:val="32"/>
        </w:rPr>
        <w:t xml:space="preserve">CLL）/ </w:t>
      </w:r>
      <w:r>
        <w:rPr>
          <w:rFonts w:hint="eastAsia" w:ascii="仿宋" w:hAnsi="仿宋" w:eastAsia="仿宋"/>
          <w:bCs/>
          <w:color w:val="000000"/>
          <w:sz w:val="32"/>
          <w:szCs w:val="32"/>
        </w:rPr>
        <w:t>小淋巴细胞淋巴瘤（</w:t>
      </w:r>
      <w:r>
        <w:rPr>
          <w:rFonts w:ascii="仿宋" w:hAnsi="仿宋" w:eastAsia="仿宋"/>
          <w:bCs/>
          <w:color w:val="000000"/>
          <w:sz w:val="32"/>
          <w:szCs w:val="32"/>
        </w:rPr>
        <w:t>SLL）患者。</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1.泽布替尼用于</w:t>
      </w:r>
      <w:r>
        <w:rPr>
          <w:rFonts w:ascii="仿宋" w:hAnsi="仿宋" w:eastAsia="仿宋"/>
          <w:bCs/>
          <w:color w:val="000000"/>
          <w:sz w:val="32"/>
          <w:szCs w:val="32"/>
        </w:rPr>
        <w:t>CLL治疗前，应进行严格临床评估，如果患者有明确del(17p)，</w:t>
      </w:r>
      <w:r>
        <w:rPr>
          <w:rFonts w:hint="eastAsia" w:ascii="仿宋" w:hAnsi="仿宋" w:eastAsia="仿宋"/>
          <w:bCs/>
          <w:color w:val="000000"/>
          <w:sz w:val="32"/>
          <w:szCs w:val="32"/>
        </w:rPr>
        <w:t>选BTK抑制剂治疗。</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2.应该按照相关疾病指南，治疗前做基线评估，治疗期间定期监测治疗反应及毒性，注意肿瘤溶解综合征（尤其在</w:t>
      </w:r>
      <w:r>
        <w:rPr>
          <w:rFonts w:ascii="仿宋" w:hAnsi="仿宋" w:eastAsia="仿宋"/>
          <w:bCs/>
          <w:color w:val="000000"/>
          <w:sz w:val="32"/>
          <w:szCs w:val="32"/>
        </w:rPr>
        <w:t>CLL患者中）。</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3.治疗</w:t>
      </w:r>
      <w:r>
        <w:rPr>
          <w:rFonts w:ascii="仿宋" w:hAnsi="仿宋" w:eastAsia="仿宋"/>
          <w:bCs/>
          <w:color w:val="000000"/>
          <w:sz w:val="32"/>
          <w:szCs w:val="32"/>
        </w:rPr>
        <w:t>MCL与CLL/SLL的推荐剂量均为160mg，每日两次直至疾病进展或出现不可接受的毒性。</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4.轻度和中度肝功能损伤患者（</w:t>
      </w:r>
      <w:r>
        <w:rPr>
          <w:rFonts w:ascii="仿宋" w:hAnsi="仿宋" w:eastAsia="仿宋"/>
          <w:bCs/>
          <w:color w:val="000000"/>
          <w:sz w:val="32"/>
          <w:szCs w:val="32"/>
        </w:rPr>
        <w:t>Child-Pugh A级和B级）无需调整剂量。重度肝功能损伤患者（Child-Pugh B级和C级）的推荐剂量是80mg，每日两次。</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5.口服给药，每天的用药时间大致固定。应用水送服整粒胶囊，可在饭前或饭后服用。禁止打开、弄破或咀嚼胶囊。如果未在计划时间服用本品，患者应在相邻服药间隔至少</w:t>
      </w:r>
      <w:r>
        <w:rPr>
          <w:rFonts w:ascii="仿宋" w:hAnsi="仿宋" w:eastAsia="仿宋"/>
          <w:bCs/>
          <w:color w:val="000000"/>
          <w:sz w:val="32"/>
          <w:szCs w:val="32"/>
        </w:rPr>
        <w:t>8小时基础上尽快服用，并在后续恢复正常用药计划。请勿额外服用本品以弥补漏服剂量。推荐剂量为每次160mg口服，每日两次，直到发生疾病进展或出现不可耐受的毒性。</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6.粒细胞减少、血小板减少、贫血是常见的不良反应。用药期间需要监测血常规。出现</w:t>
      </w:r>
      <w:r>
        <w:rPr>
          <w:rFonts w:ascii="仿宋" w:hAnsi="仿宋" w:eastAsia="仿宋"/>
          <w:bCs/>
          <w:color w:val="000000"/>
          <w:sz w:val="32"/>
          <w:szCs w:val="32"/>
        </w:rPr>
        <w:t>3级血液学毒性及以上注意剂量调整。≥3级伴感染或发热的中性粒细胞减少症或者4级血液学毒性时，应中断治疗，待毒性症状消退至1级或基线水平（恢复）时，可以起始剂量重新开始治疗。如果该毒性再次发生，应再次中断治疗，待毒性症状消退至1级或基线水平（恢复）时以每次80mg，每日两次的剂量重新开始用药。如果在剂量降低后该毒性第三次发生，应再次中断治疗，待毒性症状消退至1级或基线水平（恢复）时以每次80mg，每日一次的剂量重新开始用药。如果在两次剂量降低后该毒性第四次发生，应终止本品治疗。</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7.与</w:t>
      </w:r>
      <w:r>
        <w:rPr>
          <w:rFonts w:ascii="仿宋" w:hAnsi="仿宋" w:eastAsia="仿宋"/>
          <w:bCs/>
          <w:color w:val="000000"/>
          <w:sz w:val="32"/>
          <w:szCs w:val="32"/>
        </w:rPr>
        <w:t xml:space="preserve">CYP3A </w:t>
      </w:r>
      <w:r>
        <w:rPr>
          <w:rFonts w:hint="eastAsia" w:ascii="仿宋" w:hAnsi="仿宋" w:eastAsia="仿宋"/>
          <w:bCs/>
          <w:color w:val="000000"/>
          <w:sz w:val="32"/>
          <w:szCs w:val="32"/>
        </w:rPr>
        <w:t>抑制剂或诱导剂联合给药时的剂量调整。</w:t>
      </w:r>
    </w:p>
    <w:p>
      <w:pPr>
        <w:spacing w:line="360" w:lineRule="auto"/>
        <w:jc w:val="center"/>
        <w:rPr>
          <w:rFonts w:ascii="仿宋" w:hAnsi="仿宋" w:eastAsia="仿宋"/>
          <w:b/>
          <w:bCs/>
          <w:color w:val="000000"/>
        </w:rPr>
      </w:pPr>
      <w:r>
        <w:rPr>
          <w:rFonts w:ascii="仿宋" w:hAnsi="仿宋" w:eastAsia="仿宋"/>
          <w:b/>
          <w:bCs/>
          <w:color w:val="000000"/>
        </w:rPr>
        <w:t>表</w:t>
      </w:r>
      <w:r>
        <w:rPr>
          <w:rFonts w:hint="eastAsia" w:ascii="仿宋" w:hAnsi="仿宋" w:eastAsia="仿宋"/>
          <w:b/>
          <w:bCs/>
          <w:color w:val="000000"/>
        </w:rPr>
        <w:t>3 与C</w:t>
      </w:r>
      <w:r>
        <w:rPr>
          <w:rFonts w:ascii="仿宋" w:hAnsi="仿宋" w:eastAsia="仿宋"/>
          <w:b/>
          <w:bCs/>
          <w:color w:val="000000"/>
        </w:rPr>
        <w:t>YP3A</w:t>
      </w:r>
      <w:r>
        <w:rPr>
          <w:rFonts w:hint="eastAsia" w:ascii="仿宋" w:hAnsi="仿宋" w:eastAsia="仿宋"/>
          <w:b/>
          <w:bCs/>
          <w:color w:val="000000"/>
        </w:rPr>
        <w:t>抑制剂或诱导剂联合给药时的剂量调整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5" w:type="dxa"/>
            <w:vAlign w:val="center"/>
          </w:tcPr>
          <w:p>
            <w:pPr>
              <w:spacing w:line="360" w:lineRule="auto"/>
              <w:rPr>
                <w:rFonts w:ascii="仿宋" w:hAnsi="仿宋" w:eastAsia="仿宋"/>
                <w:b/>
                <w:color w:val="000000"/>
              </w:rPr>
            </w:pPr>
            <w:r>
              <w:rPr>
                <w:rFonts w:hint="eastAsia" w:ascii="仿宋" w:hAnsi="仿宋" w:eastAsia="仿宋"/>
                <w:b/>
                <w:color w:val="000000"/>
              </w:rPr>
              <w:t>联合给药</w:t>
            </w:r>
          </w:p>
        </w:tc>
        <w:tc>
          <w:tcPr>
            <w:tcW w:w="5211" w:type="dxa"/>
            <w:vAlign w:val="center"/>
          </w:tcPr>
          <w:p>
            <w:pPr>
              <w:spacing w:line="360" w:lineRule="auto"/>
              <w:rPr>
                <w:rFonts w:ascii="仿宋" w:hAnsi="仿宋" w:eastAsia="仿宋"/>
                <w:b/>
                <w:color w:val="000000"/>
              </w:rPr>
            </w:pPr>
            <w:r>
              <w:rPr>
                <w:rFonts w:hint="eastAsia" w:ascii="仿宋" w:hAnsi="仿宋" w:eastAsia="仿宋"/>
                <w:b/>
                <w:color w:val="000000"/>
              </w:rPr>
              <w:t>剂量调整建议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spacing w:line="360" w:lineRule="auto"/>
              <w:rPr>
                <w:rFonts w:ascii="仿宋" w:hAnsi="仿宋" w:eastAsia="仿宋"/>
                <w:bCs/>
                <w:color w:val="000000"/>
              </w:rPr>
            </w:pPr>
            <w:r>
              <w:rPr>
                <w:rFonts w:hint="eastAsia" w:ascii="仿宋" w:hAnsi="仿宋" w:eastAsia="仿宋"/>
                <w:bCs/>
                <w:color w:val="000000"/>
              </w:rPr>
              <w:t>强效C</w:t>
            </w:r>
            <w:r>
              <w:rPr>
                <w:rFonts w:ascii="仿宋" w:hAnsi="仿宋" w:eastAsia="仿宋"/>
                <w:bCs/>
                <w:color w:val="000000"/>
              </w:rPr>
              <w:t>YP3A</w:t>
            </w:r>
            <w:r>
              <w:rPr>
                <w:rFonts w:hint="eastAsia" w:ascii="仿宋" w:hAnsi="仿宋" w:eastAsia="仿宋"/>
                <w:bCs/>
                <w:color w:val="000000"/>
              </w:rPr>
              <w:t>抑制剂</w:t>
            </w:r>
          </w:p>
        </w:tc>
        <w:tc>
          <w:tcPr>
            <w:tcW w:w="5211" w:type="dxa"/>
          </w:tcPr>
          <w:p>
            <w:pPr>
              <w:autoSpaceDE w:val="0"/>
              <w:autoSpaceDN w:val="0"/>
              <w:rPr>
                <w:rFonts w:ascii="仿宋" w:hAnsi="仿宋" w:eastAsia="仿宋"/>
                <w:bCs/>
                <w:color w:val="000000"/>
              </w:rPr>
            </w:pPr>
            <w:r>
              <w:rPr>
                <w:rFonts w:hint="eastAsia" w:ascii="仿宋" w:hAnsi="仿宋" w:eastAsia="仿宋"/>
                <w:bCs/>
                <w:color w:val="000000"/>
              </w:rPr>
              <w:t>每次</w:t>
            </w:r>
            <w:r>
              <w:rPr>
                <w:rFonts w:ascii="仿宋" w:hAnsi="仿宋" w:eastAsia="仿宋"/>
                <w:bCs/>
                <w:color w:val="000000"/>
              </w:rPr>
              <w:t>80 mg</w:t>
            </w:r>
            <w:r>
              <w:rPr>
                <w:rFonts w:hint="eastAsia" w:ascii="仿宋" w:hAnsi="仿宋" w:eastAsia="仿宋"/>
                <w:bCs/>
                <w:color w:val="000000"/>
              </w:rPr>
              <w:t>，每日一次</w:t>
            </w:r>
          </w:p>
          <w:p>
            <w:pPr>
              <w:spacing w:line="360" w:lineRule="auto"/>
              <w:rPr>
                <w:rFonts w:ascii="仿宋" w:hAnsi="仿宋" w:eastAsia="仿宋"/>
                <w:bCs/>
                <w:color w:val="000000"/>
              </w:rPr>
            </w:pPr>
            <w:r>
              <w:rPr>
                <w:rFonts w:hint="eastAsia" w:ascii="仿宋" w:hAnsi="仿宋" w:eastAsia="仿宋"/>
                <w:bCs/>
                <w:color w:val="000000"/>
              </w:rPr>
              <w:t>出现不良反应时再次剂量调整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spacing w:line="360" w:lineRule="auto"/>
              <w:rPr>
                <w:rFonts w:ascii="仿宋" w:hAnsi="仿宋" w:eastAsia="仿宋"/>
                <w:bCs/>
                <w:color w:val="000000"/>
              </w:rPr>
            </w:pPr>
            <w:r>
              <w:rPr>
                <w:rFonts w:hint="eastAsia" w:ascii="仿宋" w:hAnsi="仿宋" w:eastAsia="仿宋"/>
                <w:bCs/>
                <w:color w:val="000000"/>
              </w:rPr>
              <w:t>中效C</w:t>
            </w:r>
            <w:r>
              <w:rPr>
                <w:rFonts w:ascii="仿宋" w:hAnsi="仿宋" w:eastAsia="仿宋"/>
                <w:bCs/>
                <w:color w:val="000000"/>
              </w:rPr>
              <w:t>YP3A</w:t>
            </w:r>
            <w:r>
              <w:rPr>
                <w:rFonts w:hint="eastAsia" w:ascii="仿宋" w:hAnsi="仿宋" w:eastAsia="仿宋"/>
                <w:bCs/>
                <w:color w:val="000000"/>
              </w:rPr>
              <w:t>抑制剂</w:t>
            </w:r>
          </w:p>
        </w:tc>
        <w:tc>
          <w:tcPr>
            <w:tcW w:w="5211" w:type="dxa"/>
          </w:tcPr>
          <w:p>
            <w:pPr>
              <w:autoSpaceDE w:val="0"/>
              <w:autoSpaceDN w:val="0"/>
              <w:rPr>
                <w:rFonts w:ascii="仿宋" w:hAnsi="仿宋" w:eastAsia="仿宋"/>
                <w:bCs/>
                <w:color w:val="000000"/>
              </w:rPr>
            </w:pPr>
            <w:r>
              <w:rPr>
                <w:rFonts w:hint="eastAsia" w:ascii="仿宋" w:hAnsi="仿宋" w:eastAsia="仿宋"/>
                <w:bCs/>
                <w:color w:val="000000"/>
              </w:rPr>
              <w:t>每次</w:t>
            </w:r>
            <w:r>
              <w:rPr>
                <w:rFonts w:ascii="仿宋" w:hAnsi="仿宋" w:eastAsia="仿宋"/>
                <w:bCs/>
                <w:color w:val="000000"/>
              </w:rPr>
              <w:t>80 mg</w:t>
            </w:r>
            <w:r>
              <w:rPr>
                <w:rFonts w:hint="eastAsia" w:ascii="仿宋" w:hAnsi="仿宋" w:eastAsia="仿宋"/>
                <w:bCs/>
                <w:color w:val="000000"/>
              </w:rPr>
              <w:t>，每日两次</w:t>
            </w:r>
          </w:p>
          <w:p>
            <w:pPr>
              <w:spacing w:line="360" w:lineRule="auto"/>
              <w:rPr>
                <w:rFonts w:ascii="仿宋" w:hAnsi="仿宋" w:eastAsia="仿宋"/>
                <w:bCs/>
                <w:color w:val="000000"/>
              </w:rPr>
            </w:pPr>
            <w:r>
              <w:rPr>
                <w:rFonts w:hint="eastAsia" w:ascii="仿宋" w:hAnsi="仿宋" w:eastAsia="仿宋"/>
                <w:bCs/>
                <w:color w:val="000000"/>
              </w:rPr>
              <w:t>出现不良反应时再次剂量调整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pPr>
              <w:spacing w:line="360" w:lineRule="auto"/>
              <w:rPr>
                <w:rFonts w:ascii="仿宋" w:hAnsi="仿宋" w:eastAsia="仿宋"/>
                <w:bCs/>
                <w:color w:val="000000"/>
              </w:rPr>
            </w:pPr>
            <w:r>
              <w:rPr>
                <w:rFonts w:hint="eastAsia" w:ascii="仿宋" w:hAnsi="仿宋" w:eastAsia="仿宋"/>
                <w:bCs/>
                <w:color w:val="000000"/>
              </w:rPr>
              <w:t>强效或中效C</w:t>
            </w:r>
            <w:r>
              <w:rPr>
                <w:rFonts w:ascii="仿宋" w:hAnsi="仿宋" w:eastAsia="仿宋"/>
                <w:bCs/>
                <w:color w:val="000000"/>
              </w:rPr>
              <w:t>YP3A</w:t>
            </w:r>
            <w:r>
              <w:rPr>
                <w:rFonts w:hint="eastAsia" w:ascii="仿宋" w:hAnsi="仿宋" w:eastAsia="仿宋"/>
                <w:bCs/>
                <w:color w:val="000000"/>
              </w:rPr>
              <w:t>诱导剂</w:t>
            </w:r>
          </w:p>
        </w:tc>
        <w:tc>
          <w:tcPr>
            <w:tcW w:w="5211" w:type="dxa"/>
          </w:tcPr>
          <w:p>
            <w:pPr>
              <w:spacing w:line="360" w:lineRule="auto"/>
              <w:rPr>
                <w:rFonts w:ascii="仿宋" w:hAnsi="仿宋" w:eastAsia="仿宋"/>
                <w:bCs/>
                <w:color w:val="000000"/>
              </w:rPr>
            </w:pPr>
            <w:r>
              <w:rPr>
                <w:rFonts w:hint="eastAsia" w:ascii="仿宋" w:hAnsi="仿宋" w:eastAsia="仿宋"/>
                <w:bCs/>
                <w:color w:val="000000"/>
              </w:rPr>
              <w:t>避免同时使用</w:t>
            </w:r>
          </w:p>
        </w:tc>
      </w:tr>
    </w:tbl>
    <w:p>
      <w:pPr>
        <w:widowControl/>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8.乙肝病毒再激活的风险：使用泽布替尼过程中需要注意乙肝病毒激活的风险。应在使用前明确乙型肝炎病毒状态，对于目前或既往有乙型肝炎病毒感染的患者，在开始治疗前需要咨询肝炎专科医师，并在治疗过程中注意监测。</w:t>
      </w:r>
    </w:p>
    <w:p>
      <w:pPr>
        <w:widowControl/>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9.肾功能损伤患者不建议进行剂量调整。重度肾功能损伤（肌酐清除率＜30ml/分钟）或透析患者使用本品需要注意监测不良反应。</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其他适应证：一线治疗慢性淋巴细胞白血病/小淋巴细胞淋巴瘤（基于全球多中心Ⅱ期临床研究AU003的数据，以及全球多中心Ⅲ期临床研究SEQUOIA研究中17p-亚组的数据），初治及复发的华氏巨球蛋白血症淋巴瘤（Ⅲ期临床研究）。复发/难治边缘区淋巴瘤（仅有Ⅰ～Ⅱ期临床研究），复发/难治滤泡型淋巴瘤（仅有Ⅰ～Ⅱ期临床研究）。</w:t>
      </w:r>
    </w:p>
    <w:p>
      <w:pPr>
        <w:spacing w:line="360" w:lineRule="auto"/>
        <w:ind w:firstLine="640" w:firstLineChars="200"/>
        <w:rPr>
          <w:rFonts w:ascii="黑体" w:hAnsi="黑体" w:eastAsia="黑体" w:cs="Times New Roman"/>
          <w:sz w:val="32"/>
          <w:szCs w:val="32"/>
          <w:lang w:val="fr-FR"/>
        </w:rPr>
      </w:pPr>
      <w:r>
        <w:rPr>
          <w:rFonts w:hint="eastAsia" w:ascii="黑体" w:hAnsi="黑体" w:eastAsia="黑体" w:cs="黑体"/>
          <w:sz w:val="32"/>
          <w:szCs w:val="32"/>
        </w:rPr>
        <w:t>十三、来那度胺 L</w:t>
      </w:r>
      <w:r>
        <w:rPr>
          <w:rFonts w:ascii="黑体" w:hAnsi="黑体" w:eastAsia="黑体" w:cs="黑体"/>
          <w:sz w:val="32"/>
          <w:szCs w:val="32"/>
        </w:rPr>
        <w:t>enalidomide</w:t>
      </w:r>
    </w:p>
    <w:p>
      <w:pPr>
        <w:spacing w:line="360" w:lineRule="auto"/>
        <w:ind w:firstLine="643" w:firstLineChars="200"/>
        <w:rPr>
          <w:rFonts w:ascii="仿宋" w:hAnsi="仿宋" w:eastAsia="仿宋" w:cs="Times New Roman"/>
          <w:b/>
          <w:bCs/>
          <w:sz w:val="32"/>
          <w:szCs w:val="32"/>
          <w:lang w:val="fr-FR"/>
        </w:rPr>
      </w:pPr>
      <w:r>
        <w:rPr>
          <w:rFonts w:hint="eastAsia" w:ascii="仿宋" w:hAnsi="仿宋" w:eastAsia="仿宋" w:cs="仿宋"/>
          <w:b/>
          <w:bCs/>
          <w:sz w:val="32"/>
          <w:szCs w:val="32"/>
        </w:rPr>
        <w:t>制剂与规格</w:t>
      </w:r>
      <w:r>
        <w:rPr>
          <w:rFonts w:hint="eastAsia" w:ascii="仿宋" w:hAnsi="仿宋" w:eastAsia="仿宋" w:cs="仿宋"/>
          <w:b/>
          <w:bCs/>
          <w:sz w:val="32"/>
          <w:szCs w:val="32"/>
          <w:lang w:val="fr-FR"/>
        </w:rPr>
        <w:t>：</w:t>
      </w:r>
      <w:r>
        <w:rPr>
          <w:rFonts w:hint="eastAsia" w:ascii="仿宋" w:hAnsi="仿宋" w:eastAsia="仿宋" w:cs="仿宋"/>
          <w:sz w:val="32"/>
          <w:szCs w:val="32"/>
        </w:rPr>
        <w:t>胶囊：</w:t>
      </w:r>
      <w:r>
        <w:rPr>
          <w:rFonts w:ascii="仿宋" w:hAnsi="仿宋" w:eastAsia="仿宋" w:cs="仿宋"/>
          <w:sz w:val="32"/>
          <w:szCs w:val="32"/>
          <w:lang w:val="fr-FR"/>
        </w:rPr>
        <w:t>10mg</w:t>
      </w:r>
      <w:r>
        <w:rPr>
          <w:rFonts w:hint="eastAsia" w:ascii="仿宋" w:hAnsi="仿宋" w:eastAsia="仿宋" w:cs="仿宋"/>
          <w:sz w:val="32"/>
          <w:szCs w:val="32"/>
        </w:rPr>
        <w:t>、</w:t>
      </w:r>
      <w:r>
        <w:rPr>
          <w:rFonts w:ascii="仿宋" w:hAnsi="仿宋" w:eastAsia="仿宋" w:cs="仿宋"/>
          <w:sz w:val="32"/>
          <w:szCs w:val="32"/>
          <w:lang w:val="fr-FR"/>
        </w:rPr>
        <w:t xml:space="preserve">25mg </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初治及复发难治性多发性骨髓瘤。</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药物具有骨髓抑制作用，应用后需要监测患者血常规。</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对于适合接收自体干细胞移植的病人，移植前建议接受不要超过</w:t>
      </w:r>
      <w:r>
        <w:rPr>
          <w:rFonts w:ascii="仿宋" w:hAnsi="仿宋" w:eastAsia="仿宋" w:cs="仿宋"/>
          <w:sz w:val="32"/>
          <w:szCs w:val="32"/>
        </w:rPr>
        <w:t>4</w:t>
      </w:r>
      <w:r>
        <w:rPr>
          <w:rFonts w:hint="eastAsia" w:ascii="仿宋" w:hAnsi="仿宋" w:eastAsia="仿宋" w:cs="仿宋"/>
          <w:sz w:val="32"/>
          <w:szCs w:val="32"/>
        </w:rPr>
        <w:t>个疗程含有来那度胺的治疗。</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硼替佐米与来那度胺具有协同作用。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肾功能损伤的骨髓瘤患者需要减量。</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长期应用会增加第二肿瘤的风险。</w:t>
      </w:r>
    </w:p>
    <w:p>
      <w:pPr>
        <w:spacing w:line="360" w:lineRule="auto"/>
        <w:ind w:firstLine="640" w:firstLineChars="200"/>
        <w:rPr>
          <w:rFonts w:ascii="仿宋" w:hAnsi="仿宋" w:eastAsia="仿宋" w:cs="仿宋"/>
          <w:b/>
          <w:bCs/>
          <w:sz w:val="32"/>
          <w:szCs w:val="32"/>
        </w:rPr>
      </w:pPr>
      <w:r>
        <w:rPr>
          <w:rFonts w:hint="eastAsia" w:ascii="仿宋" w:hAnsi="仿宋" w:eastAsia="仿宋" w:cs="仿宋"/>
          <w:sz w:val="32"/>
          <w:szCs w:val="32"/>
        </w:rPr>
        <w:t>6.血细胞减少、皮疹为来那度胺常见的不良反应，其余包括深静脉血栓。</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对于接受来那度胺与地塞米松联合治疗的多发性骨髓瘤患者，深静脉血栓和肺栓塞的风险显著升高。需要密切注意血栓导致的症状和体征，合并高危血栓风险时建议给予预防性抗凝。</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可能会有胚胎</w:t>
      </w:r>
      <w:r>
        <w:rPr>
          <w:rFonts w:ascii="仿宋" w:hAnsi="仿宋" w:eastAsia="仿宋" w:cs="仿宋"/>
          <w:sz w:val="32"/>
          <w:szCs w:val="32"/>
        </w:rPr>
        <w:t>-</w:t>
      </w:r>
      <w:r>
        <w:rPr>
          <w:rFonts w:hint="eastAsia" w:ascii="仿宋" w:hAnsi="仿宋" w:eastAsia="仿宋" w:cs="仿宋"/>
          <w:sz w:val="32"/>
          <w:szCs w:val="32"/>
        </w:rPr>
        <w:t>生殖毒性，使用期间注意避孕。对儿童生长发育会有潜在影响。</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9</w:t>
      </w:r>
      <w:r>
        <w:rPr>
          <w:rFonts w:ascii="仿宋" w:hAnsi="仿宋" w:eastAsia="仿宋" w:cs="仿宋"/>
          <w:sz w:val="32"/>
          <w:szCs w:val="32"/>
        </w:rPr>
        <w:t>.</w:t>
      </w:r>
      <w:r>
        <w:rPr>
          <w:rFonts w:hint="eastAsia" w:ascii="仿宋" w:hAnsi="仿宋" w:eastAsia="仿宋" w:cs="仿宋"/>
          <w:sz w:val="32"/>
          <w:szCs w:val="32"/>
        </w:rPr>
        <w:t>滤泡细胞淋巴瘤（全球其他国家已批准的适应证）。</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10</w:t>
      </w:r>
      <w:r>
        <w:rPr>
          <w:rFonts w:ascii="仿宋" w:hAnsi="仿宋" w:eastAsia="仿宋" w:cs="仿宋"/>
          <w:sz w:val="32"/>
          <w:szCs w:val="32"/>
        </w:rPr>
        <w:t>.POEMS</w:t>
      </w:r>
      <w:r>
        <w:rPr>
          <w:rFonts w:hint="eastAsia" w:ascii="仿宋" w:hAnsi="仿宋" w:eastAsia="仿宋" w:cs="仿宋"/>
          <w:sz w:val="32"/>
          <w:szCs w:val="32"/>
        </w:rPr>
        <w:t>综合征（仅有Ⅰ～Ⅱ期临床研究数据）。</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1</w:t>
      </w:r>
      <w:r>
        <w:rPr>
          <w:rFonts w:hint="eastAsia" w:ascii="仿宋" w:hAnsi="仿宋" w:eastAsia="仿宋" w:cs="仿宋"/>
          <w:sz w:val="32"/>
          <w:szCs w:val="32"/>
        </w:rPr>
        <w:t>1</w:t>
      </w:r>
      <w:r>
        <w:rPr>
          <w:rFonts w:ascii="仿宋" w:hAnsi="仿宋" w:eastAsia="仿宋" w:cs="仿宋"/>
          <w:sz w:val="32"/>
          <w:szCs w:val="32"/>
        </w:rPr>
        <w:t>.</w:t>
      </w:r>
      <w:r>
        <w:rPr>
          <w:rFonts w:hint="eastAsia" w:ascii="仿宋" w:hAnsi="仿宋" w:eastAsia="仿宋" w:cs="仿宋"/>
          <w:sz w:val="32"/>
          <w:szCs w:val="32"/>
        </w:rPr>
        <w:t>轻链淀粉样变性（仅有Ⅰ～Ⅱ期临床研究数据）。</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1</w:t>
      </w:r>
      <w:r>
        <w:rPr>
          <w:rFonts w:hint="eastAsia" w:ascii="仿宋" w:hAnsi="仿宋" w:eastAsia="仿宋" w:cs="仿宋"/>
          <w:sz w:val="32"/>
          <w:szCs w:val="32"/>
        </w:rPr>
        <w:t>2</w:t>
      </w:r>
      <w:r>
        <w:rPr>
          <w:rFonts w:ascii="仿宋" w:hAnsi="仿宋" w:eastAsia="仿宋" w:cs="仿宋"/>
          <w:sz w:val="32"/>
          <w:szCs w:val="32"/>
        </w:rPr>
        <w:t>.MGRS</w:t>
      </w:r>
      <w:r>
        <w:rPr>
          <w:rFonts w:hint="eastAsia" w:ascii="仿宋" w:hAnsi="仿宋" w:eastAsia="仿宋" w:cs="仿宋"/>
          <w:sz w:val="32"/>
          <w:szCs w:val="32"/>
        </w:rPr>
        <w:t>（仅有Ⅰ～Ⅱ期临床研究数据）。</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ascii="仿宋" w:hAnsi="仿宋" w:eastAsia="仿宋" w:cs="仿宋"/>
          <w:sz w:val="32"/>
          <w:szCs w:val="32"/>
        </w:rPr>
        <w:t>1</w:t>
      </w:r>
      <w:r>
        <w:rPr>
          <w:rFonts w:hint="eastAsia" w:ascii="仿宋" w:hAnsi="仿宋" w:eastAsia="仿宋" w:cs="仿宋"/>
          <w:sz w:val="32"/>
          <w:szCs w:val="32"/>
        </w:rPr>
        <w:t>3</w:t>
      </w:r>
      <w:r>
        <w:rPr>
          <w:rFonts w:ascii="仿宋" w:hAnsi="仿宋" w:eastAsia="仿宋" w:cs="仿宋"/>
          <w:sz w:val="32"/>
          <w:szCs w:val="32"/>
        </w:rPr>
        <w:t>.del</w:t>
      </w:r>
      <w:r>
        <w:rPr>
          <w:rFonts w:hint="eastAsia" w:ascii="仿宋" w:hAnsi="仿宋" w:eastAsia="仿宋" w:cs="仿宋"/>
          <w:sz w:val="32"/>
          <w:szCs w:val="32"/>
        </w:rPr>
        <w:t>（</w:t>
      </w:r>
      <w:r>
        <w:rPr>
          <w:rFonts w:ascii="仿宋" w:hAnsi="仿宋" w:eastAsia="仿宋" w:cs="仿宋"/>
          <w:sz w:val="32"/>
          <w:szCs w:val="32"/>
        </w:rPr>
        <w:t>5q</w:t>
      </w:r>
      <w:r>
        <w:rPr>
          <w:rFonts w:hint="eastAsia" w:ascii="仿宋" w:hAnsi="仿宋" w:eastAsia="仿宋" w:cs="仿宋"/>
          <w:sz w:val="32"/>
          <w:szCs w:val="32"/>
        </w:rPr>
        <w:t>）的低危</w:t>
      </w:r>
      <w:r>
        <w:rPr>
          <w:rFonts w:ascii="仿宋" w:hAnsi="仿宋" w:eastAsia="仿宋" w:cs="仿宋"/>
          <w:sz w:val="32"/>
          <w:szCs w:val="32"/>
        </w:rPr>
        <w:t>/</w:t>
      </w:r>
      <w:r>
        <w:rPr>
          <w:rFonts w:hint="eastAsia" w:ascii="仿宋" w:hAnsi="仿宋" w:eastAsia="仿宋" w:cs="仿宋"/>
          <w:sz w:val="32"/>
          <w:szCs w:val="32"/>
        </w:rPr>
        <w:t>中危</w:t>
      </w:r>
      <w:r>
        <w:rPr>
          <w:rFonts w:ascii="仿宋" w:hAnsi="仿宋" w:eastAsia="仿宋" w:cs="仿宋"/>
          <w:sz w:val="32"/>
          <w:szCs w:val="32"/>
        </w:rPr>
        <w:t>1</w:t>
      </w:r>
      <w:r>
        <w:rPr>
          <w:rFonts w:hint="eastAsia" w:ascii="仿宋" w:hAnsi="仿宋" w:eastAsia="仿宋" w:cs="仿宋"/>
          <w:sz w:val="32"/>
          <w:szCs w:val="32"/>
        </w:rPr>
        <w:t>骨髓增生异常综合征（全球其他国家已批准的适应证）。</w:t>
      </w:r>
    </w:p>
    <w:p>
      <w:pPr>
        <w:spacing w:line="360" w:lineRule="auto"/>
        <w:ind w:firstLine="640" w:firstLineChars="200"/>
        <w:rPr>
          <w:rFonts w:ascii="仿宋" w:hAnsi="仿宋" w:eastAsia="仿宋" w:cs="Times New Roman"/>
          <w:sz w:val="32"/>
          <w:szCs w:val="32"/>
        </w:rPr>
      </w:pPr>
      <w:r>
        <w:rPr>
          <w:rFonts w:hint="eastAsia" w:ascii="黑体" w:hAnsi="黑体" w:eastAsia="黑体" w:cs="黑体"/>
          <w:sz w:val="32"/>
          <w:szCs w:val="32"/>
        </w:rPr>
        <w:t>十四、沙利度胺 T</w:t>
      </w:r>
      <w:r>
        <w:rPr>
          <w:rFonts w:ascii="黑体" w:hAnsi="黑体" w:eastAsia="黑体" w:cs="黑体"/>
          <w:sz w:val="32"/>
          <w:szCs w:val="32"/>
        </w:rPr>
        <w:t>halidomide</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）片剂：</w:t>
      </w:r>
      <w:r>
        <w:rPr>
          <w:rFonts w:ascii="仿宋" w:hAnsi="仿宋" w:eastAsia="仿宋" w:cs="仿宋"/>
          <w:sz w:val="32"/>
          <w:szCs w:val="32"/>
        </w:rPr>
        <w:t>25mg</w:t>
      </w: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）胶囊：</w:t>
      </w:r>
      <w:r>
        <w:rPr>
          <w:rFonts w:ascii="仿宋" w:hAnsi="仿宋" w:eastAsia="仿宋" w:cs="仿宋"/>
          <w:sz w:val="32"/>
          <w:szCs w:val="32"/>
        </w:rPr>
        <w:t>25mg</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瘤型麻风病。</w:t>
      </w:r>
    </w:p>
    <w:p>
      <w:pPr>
        <w:spacing w:line="360" w:lineRule="auto"/>
        <w:ind w:firstLine="643" w:firstLineChars="200"/>
        <w:rPr>
          <w:rFonts w:ascii="仿宋" w:hAnsi="仿宋" w:eastAsia="仿宋" w:cs="Times New Roman"/>
          <w:b/>
          <w:bCs/>
          <w:sz w:val="32"/>
          <w:szCs w:val="32"/>
        </w:rPr>
      </w:pPr>
      <w:r>
        <w:rPr>
          <w:rFonts w:hint="eastAsia" w:ascii="仿宋" w:hAnsi="仿宋" w:eastAsia="仿宋" w:cs="仿宋"/>
          <w:b/>
          <w:bCs/>
          <w:sz w:val="32"/>
          <w:szCs w:val="32"/>
        </w:rPr>
        <w:t>合理用药要点：</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沙利度胺可以引起心率减慢，严重者出现三度房室传导阻滞。</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对本品有过敏反应的患者慎用。沙利度胺具有致畸性，孕妇及哺乳期妇女、儿童禁用。其他不良反应包括心率减慢、皮疹、便秘、周围神经病变、嗜睡及深静脉血栓等，可通过减量以及辅助用药缓解。</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硼替佐米与沙利度胺具有协同作用。</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对于接受沙利度胺与地塞米松联合治疗的多发性骨髓瘤患者，深静脉血栓和肺栓塞的风险显著升高。需要密切注意血栓导致的症状和体征，合并高危血栓风险时建议给予预防性抗凝。</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5.</w:t>
      </w:r>
      <w:r>
        <w:rPr>
          <w:rFonts w:hint="eastAsia" w:ascii="仿宋" w:hAnsi="仿宋" w:eastAsia="仿宋" w:cs="仿宋"/>
          <w:sz w:val="32"/>
          <w:szCs w:val="32"/>
        </w:rPr>
        <w:t>细胞遗传学高危患者不建议单独使用沙利度胺进行维持治疗。</w:t>
      </w:r>
    </w:p>
    <w:p>
      <w:pPr>
        <w:spacing w:line="360" w:lineRule="auto"/>
        <w:ind w:firstLine="640" w:firstLineChars="200"/>
        <w:rPr>
          <w:rFonts w:ascii="仿宋" w:hAnsi="仿宋" w:eastAsia="仿宋" w:cs="Times New Roman"/>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服用后会出现嗜睡，眩晕，不建议开车，应临睡前服用。</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vertAlign w:val="superscript"/>
        </w:rPr>
        <w:t>※</w:t>
      </w: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沙利度胺可以用于初治及难治复发多发性骨髓瘤病人（在国外大多数国家都已经批准用于初治以及难治复发骨髓瘤治疗）。</w:t>
      </w:r>
    </w:p>
    <w:p>
      <w:pPr>
        <w:ind w:firstLine="640" w:firstLineChars="200"/>
        <w:rPr>
          <w:rFonts w:ascii="黑体" w:hAnsi="黑体" w:eastAsia="黑体"/>
          <w:color w:val="000000"/>
          <w:sz w:val="32"/>
          <w:szCs w:val="32"/>
        </w:rPr>
      </w:pPr>
      <w:r>
        <w:rPr>
          <w:rFonts w:hint="eastAsia" w:ascii="黑体" w:hAnsi="黑体" w:eastAsia="黑体"/>
          <w:color w:val="000000"/>
          <w:sz w:val="32"/>
          <w:szCs w:val="32"/>
        </w:rPr>
        <w:t>十五、伊沙佐米 I</w:t>
      </w:r>
      <w:r>
        <w:rPr>
          <w:rFonts w:ascii="黑体" w:hAnsi="黑体" w:eastAsia="黑体"/>
          <w:color w:val="000000"/>
          <w:sz w:val="32"/>
          <w:szCs w:val="32"/>
        </w:rPr>
        <w:t>xazomib</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制剂与规格：</w:t>
      </w:r>
      <w:r>
        <w:rPr>
          <w:rFonts w:hint="eastAsia" w:ascii="仿宋" w:hAnsi="仿宋" w:eastAsia="仿宋"/>
          <w:color w:val="000000"/>
          <w:sz w:val="32"/>
          <w:szCs w:val="32"/>
        </w:rPr>
        <w:t>胶囊：2.3mg、3mg、4mg</w:t>
      </w:r>
    </w:p>
    <w:p>
      <w:pPr>
        <w:ind w:firstLine="643" w:firstLineChars="200"/>
        <w:rPr>
          <w:rFonts w:ascii="仿宋" w:hAnsi="仿宋" w:eastAsia="仿宋"/>
          <w:color w:val="000000"/>
          <w:sz w:val="32"/>
          <w:szCs w:val="32"/>
        </w:rPr>
      </w:pPr>
      <w:r>
        <w:rPr>
          <w:rFonts w:hint="eastAsia" w:ascii="仿宋" w:hAnsi="仿宋" w:eastAsia="仿宋"/>
          <w:b/>
          <w:color w:val="000000"/>
          <w:sz w:val="32"/>
          <w:szCs w:val="32"/>
        </w:rPr>
        <w:t>适应证：</w:t>
      </w:r>
      <w:r>
        <w:rPr>
          <w:rFonts w:hint="eastAsia" w:ascii="仿宋" w:hAnsi="仿宋" w:eastAsia="仿宋"/>
          <w:color w:val="000000"/>
          <w:sz w:val="32"/>
          <w:szCs w:val="32"/>
        </w:rPr>
        <w:t>与来那度胺和地塞米松联用，治疗已接受过至少一种既往治疗的多发性骨髓瘤成人患者。</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1.本品的给药途径为口服。患者应该在每个治疗周期第1、8和15天大致相同的时间服药，在进餐前至少1小时或进餐后至少2小时服用本品，应用水送服整粒胶囊。请勿压碎、咀嚼或打开胶囊。</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2.在开始一个新的治疗周期前应满足：中性粒细胞绝对计数应为≥1.0×</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olor w:val="000000"/>
          <w:sz w:val="32"/>
          <w:szCs w:val="32"/>
        </w:rPr>
        <w:t>、血小板计数应≥75.0×</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olor w:val="000000"/>
          <w:sz w:val="32"/>
          <w:szCs w:val="32"/>
        </w:rPr>
        <w:t>，非血液学毒性一般应恢复至患者的基线状况或≤1级。</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3.治疗应持续至疾病进展或出现不可接受的毒性。由于24个周期之后的耐受性和毒性相关数据有限，因此对于需要长于24个周期的联合给药治疗，应基于患者个体获益风险评估结果。</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4.如果延误或漏服一剂本品，只有当距离下次计划给药时间≥72小时，方可补服漏服剂量。距离在下次计划给药的72小时内不得补服漏服剂量。不得服用双倍剂量以弥补漏服的剂量。如果患者在服药后呕吐，不应重复服药，而应在下次计划给药时恢复给药。</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5.在接受本品治疗的患者中，应考虑抗病毒药物的预防治疗，降低带状疱疹病毒再激活的风险。在伊沙佐米研究中，接受抗病毒药物预防治疗患者的带状疱疹感染发生率低于未接受预防治疗的患者。</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6.对于伊沙佐米和来那度胺血小板减少、中性粒细胞减少和皮疹的重叠毒性，建议交替调整伊沙佐米和来那度胺的剂量。对于这些毒性，剂量调整的第一步是停用/减低来那度胺剂量，关于这些毒性的剂量减低步骤，参见来那度胺药品说明书。</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7.对于轻度肝功能损伤患者（总胆红素≤ULN和AST＞ULN，或总胆红素＞1～1.5倍ULN和AST任何水平），无需调整本品的剂量。对于中度（总胆红素＞1.5～3倍ULN）或重度（总胆红素＞3倍ULN）肝功能损伤患者，建议减量至3mg。</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8.对于轻中度肾功能损伤患者（肌酐清除率≥30ml/分钟），无需调整本品的剂量。对于重度肾功能损伤（肌酐清除率＜30ml/分钟）或需透析的终末期肾病（ESRD）患者，建议减量至3mg。伊沙佐米不能通过透析清除，因此给药时可以无需考虑透析时间。</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9.对于年龄大于65岁的患者，无需调整本品的剂量。</w:t>
      </w:r>
    </w:p>
    <w:p>
      <w:pPr>
        <w:spacing w:line="360" w:lineRule="auto"/>
        <w:ind w:firstLine="640" w:firstLineChars="200"/>
        <w:rPr>
          <w:rFonts w:ascii="仿宋" w:hAnsi="仿宋" w:eastAsia="仿宋"/>
          <w:color w:val="000000"/>
          <w:sz w:val="32"/>
          <w:szCs w:val="32"/>
        </w:rPr>
      </w:pPr>
      <w:r>
        <w:rPr>
          <w:rFonts w:hint="eastAsia" w:ascii="仿宋" w:hAnsi="仿宋" w:eastAsia="仿宋"/>
          <w:color w:val="000000"/>
          <w:sz w:val="32"/>
          <w:szCs w:val="32"/>
        </w:rPr>
        <w:t>10.伊沙佐米的不良反应包括骨髓抑制、腹泻、便秘、外周水肿。周围神经病变的发生率低于硼替佐米。</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11.伊沙佐米和CYP3A强效抑制剂、CYP1A2强效抑制剂联合给药需要进行剂量调整。</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12.当伊沙佐米与地塞米松（已知是CYP3A4、其他酶和转运蛋白的一种弱效至中效诱导剂）联合给药时，需考虑口服避孕药疗效降低的风险。使用激素避孕的女性还需采用屏障避孕。</w:t>
      </w:r>
    </w:p>
    <w:p>
      <w:pPr>
        <w:spacing w:line="360" w:lineRule="auto"/>
        <w:ind w:firstLine="640" w:firstLineChars="200"/>
        <w:rPr>
          <w:rFonts w:ascii="仿宋" w:hAnsi="仿宋" w:eastAsia="仿宋" w:cs="Times New Roman"/>
          <w:sz w:val="32"/>
          <w:szCs w:val="32"/>
        </w:rPr>
      </w:pPr>
      <w:r>
        <w:rPr>
          <w:rFonts w:hint="eastAsia" w:ascii="仿宋" w:hAnsi="仿宋" w:eastAsia="仿宋"/>
          <w:color w:val="000000"/>
          <w:sz w:val="32"/>
          <w:szCs w:val="32"/>
        </w:rPr>
        <w:t>13.新诊断的多发性骨髓瘤、淀粉样变性、华氏巨球蛋白血症（仅有I～Ⅱ期临床数据）。</w:t>
      </w:r>
    </w:p>
    <w:p>
      <w:pPr>
        <w:spacing w:line="360" w:lineRule="auto"/>
        <w:ind w:firstLine="640" w:firstLineChars="200"/>
        <w:rPr>
          <w:rFonts w:ascii="黑体" w:hAnsi="黑体" w:eastAsia="黑体"/>
          <w:color w:val="000000"/>
          <w:sz w:val="32"/>
          <w:szCs w:val="32"/>
        </w:rPr>
      </w:pPr>
      <w:r>
        <w:rPr>
          <w:rFonts w:hint="eastAsia" w:ascii="黑体" w:hAnsi="黑体" w:eastAsia="黑体"/>
          <w:color w:val="000000"/>
          <w:sz w:val="32"/>
          <w:szCs w:val="32"/>
        </w:rPr>
        <w:t>十六、达雷妥尤单抗 Daratumumab</w:t>
      </w:r>
    </w:p>
    <w:p>
      <w:pPr>
        <w:spacing w:line="360" w:lineRule="auto"/>
        <w:ind w:firstLine="643" w:firstLineChars="200"/>
        <w:rPr>
          <w:rFonts w:ascii="仿宋" w:hAnsi="仿宋" w:eastAsia="仿宋"/>
          <w:bCs/>
          <w:color w:val="000000"/>
          <w:sz w:val="32"/>
          <w:szCs w:val="32"/>
        </w:rPr>
      </w:pPr>
      <w:r>
        <w:rPr>
          <w:rFonts w:hint="eastAsia" w:ascii="仿宋" w:hAnsi="仿宋" w:eastAsia="仿宋"/>
          <w:b/>
          <w:color w:val="000000"/>
          <w:sz w:val="32"/>
          <w:szCs w:val="32"/>
        </w:rPr>
        <w:t>制剂与规格：</w:t>
      </w:r>
      <w:r>
        <w:rPr>
          <w:rFonts w:hint="eastAsia" w:ascii="仿宋" w:hAnsi="仿宋" w:eastAsia="仿宋"/>
          <w:bCs/>
          <w:color w:val="000000"/>
          <w:sz w:val="32"/>
          <w:szCs w:val="32"/>
        </w:rPr>
        <w:t>注射液：</w:t>
      </w:r>
      <w:r>
        <w:rPr>
          <w:rFonts w:ascii="仿宋" w:hAnsi="仿宋" w:eastAsia="仿宋"/>
          <w:bCs/>
          <w:color w:val="000000"/>
          <w:sz w:val="32"/>
          <w:szCs w:val="32"/>
        </w:rPr>
        <w:t>100mg</w:t>
      </w:r>
      <w:r>
        <w:rPr>
          <w:rFonts w:hint="eastAsia" w:ascii="仿宋" w:hAnsi="仿宋" w:eastAsia="仿宋"/>
          <w:bCs/>
          <w:color w:val="000000"/>
          <w:sz w:val="32"/>
          <w:szCs w:val="32"/>
        </w:rPr>
        <w:t>（</w:t>
      </w:r>
      <w:r>
        <w:rPr>
          <w:rFonts w:ascii="仿宋" w:hAnsi="仿宋" w:eastAsia="仿宋"/>
          <w:bCs/>
          <w:color w:val="000000"/>
          <w:sz w:val="32"/>
          <w:szCs w:val="32"/>
        </w:rPr>
        <w:t>5ml</w:t>
      </w:r>
      <w:r>
        <w:rPr>
          <w:rFonts w:hint="eastAsia" w:ascii="仿宋" w:hAnsi="仿宋" w:eastAsia="仿宋"/>
          <w:bCs/>
          <w:color w:val="000000"/>
          <w:sz w:val="32"/>
          <w:szCs w:val="32"/>
        </w:rPr>
        <w:t>）</w:t>
      </w:r>
      <w:r>
        <w:rPr>
          <w:rFonts w:ascii="仿宋" w:hAnsi="仿宋" w:eastAsia="仿宋"/>
          <w:bCs/>
          <w:color w:val="000000"/>
          <w:sz w:val="32"/>
          <w:szCs w:val="32"/>
        </w:rPr>
        <w:t>/瓶</w:t>
      </w:r>
      <w:r>
        <w:rPr>
          <w:rFonts w:hint="eastAsia" w:ascii="仿宋" w:hAnsi="仿宋" w:eastAsia="仿宋"/>
          <w:bCs/>
          <w:color w:val="000000"/>
          <w:sz w:val="32"/>
          <w:szCs w:val="32"/>
        </w:rPr>
        <w:t>、</w:t>
      </w:r>
      <w:r>
        <w:rPr>
          <w:rFonts w:ascii="仿宋" w:hAnsi="仿宋" w:eastAsia="仿宋"/>
          <w:bCs/>
          <w:color w:val="000000"/>
          <w:sz w:val="32"/>
          <w:szCs w:val="32"/>
        </w:rPr>
        <w:t>400mg</w:t>
      </w:r>
      <w:r>
        <w:rPr>
          <w:rFonts w:hint="eastAsia" w:ascii="仿宋" w:hAnsi="仿宋" w:eastAsia="仿宋"/>
          <w:bCs/>
          <w:color w:val="000000"/>
          <w:sz w:val="32"/>
          <w:szCs w:val="32"/>
        </w:rPr>
        <w:t>（</w:t>
      </w:r>
      <w:r>
        <w:rPr>
          <w:rFonts w:ascii="仿宋" w:hAnsi="仿宋" w:eastAsia="仿宋"/>
          <w:bCs/>
          <w:color w:val="000000"/>
          <w:sz w:val="32"/>
          <w:szCs w:val="32"/>
        </w:rPr>
        <w:t>20ml</w:t>
      </w:r>
      <w:r>
        <w:rPr>
          <w:rFonts w:hint="eastAsia" w:ascii="仿宋" w:hAnsi="仿宋" w:eastAsia="仿宋"/>
          <w:bCs/>
          <w:color w:val="000000"/>
          <w:sz w:val="32"/>
          <w:szCs w:val="32"/>
        </w:rPr>
        <w:t>）</w:t>
      </w:r>
      <w:r>
        <w:rPr>
          <w:rFonts w:ascii="仿宋" w:hAnsi="仿宋" w:eastAsia="仿宋"/>
          <w:bCs/>
          <w:color w:val="000000"/>
          <w:sz w:val="32"/>
          <w:szCs w:val="32"/>
        </w:rPr>
        <w:t>/瓶</w:t>
      </w:r>
    </w:p>
    <w:p>
      <w:pPr>
        <w:spacing w:line="360" w:lineRule="auto"/>
        <w:ind w:firstLine="643" w:firstLineChars="200"/>
        <w:rPr>
          <w:rFonts w:ascii="仿宋" w:hAnsi="仿宋" w:eastAsia="仿宋"/>
          <w:bCs/>
          <w:color w:val="000000"/>
          <w:sz w:val="32"/>
          <w:szCs w:val="32"/>
        </w:rPr>
      </w:pPr>
      <w:r>
        <w:rPr>
          <w:rFonts w:hint="eastAsia" w:ascii="仿宋" w:hAnsi="仿宋" w:eastAsia="仿宋"/>
          <w:b/>
          <w:color w:val="000000"/>
          <w:sz w:val="32"/>
          <w:szCs w:val="32"/>
        </w:rPr>
        <w:t>适应证：</w:t>
      </w:r>
      <w:r>
        <w:rPr>
          <w:rFonts w:hint="eastAsia" w:ascii="仿宋" w:hAnsi="仿宋" w:eastAsia="仿宋"/>
          <w:bCs/>
          <w:color w:val="000000"/>
          <w:sz w:val="32"/>
          <w:szCs w:val="32"/>
        </w:rPr>
        <w:t>单药治疗复发和难治性多发性骨髓瘤成年患者，患者既往接受过包括蛋白酶体抑制剂和免疫调节剂的治疗且最后一次治疗时出现疾病进展。</w:t>
      </w:r>
    </w:p>
    <w:p>
      <w:pPr>
        <w:spacing w:line="360" w:lineRule="auto"/>
        <w:ind w:firstLine="643" w:firstLineChars="200"/>
        <w:rPr>
          <w:rFonts w:ascii="仿宋" w:hAnsi="仿宋" w:eastAsia="仿宋"/>
          <w:b/>
          <w:color w:val="000000"/>
          <w:sz w:val="32"/>
          <w:szCs w:val="32"/>
        </w:rPr>
      </w:pPr>
      <w:r>
        <w:rPr>
          <w:rFonts w:hint="eastAsia" w:ascii="仿宋" w:hAnsi="仿宋" w:eastAsia="仿宋"/>
          <w:b/>
          <w:color w:val="000000"/>
          <w:sz w:val="32"/>
          <w:szCs w:val="32"/>
        </w:rPr>
        <w:t>合理用药要点：</w:t>
      </w:r>
    </w:p>
    <w:p>
      <w:pPr>
        <w:spacing w:line="360" w:lineRule="auto"/>
        <w:ind w:firstLine="643" w:firstLineChars="200"/>
        <w:rPr>
          <w:rFonts w:ascii="仿宋" w:hAnsi="仿宋" w:eastAsia="仿宋"/>
          <w:bCs/>
          <w:color w:val="000000"/>
          <w:sz w:val="32"/>
          <w:szCs w:val="32"/>
        </w:rPr>
      </w:pPr>
      <w:r>
        <w:rPr>
          <w:rFonts w:hint="eastAsia" w:ascii="仿宋" w:hAnsi="仿宋" w:eastAsia="仿宋"/>
          <w:b/>
          <w:color w:val="000000"/>
          <w:sz w:val="32"/>
          <w:szCs w:val="32"/>
        </w:rPr>
        <w:t>1.</w:t>
      </w:r>
      <w:r>
        <w:rPr>
          <w:rFonts w:hint="eastAsia" w:ascii="仿宋" w:hAnsi="仿宋" w:eastAsia="仿宋"/>
          <w:bCs/>
          <w:color w:val="000000"/>
          <w:sz w:val="32"/>
          <w:szCs w:val="32"/>
        </w:rPr>
        <w:t>即刻输注相关反应的处理：达雷妥尤单抗是一种生物制剂，作为一种外源性蛋白与其他靶向性单抗一样，有输注相关反应（</w:t>
      </w:r>
      <w:r>
        <w:rPr>
          <w:rFonts w:ascii="仿宋" w:hAnsi="仿宋" w:eastAsia="仿宋"/>
          <w:bCs/>
          <w:color w:val="000000"/>
          <w:sz w:val="32"/>
          <w:szCs w:val="32"/>
        </w:rPr>
        <w:t>IRR）。IRR主要表现为鼻塞、咳嗽、咽喉</w:t>
      </w:r>
      <w:r>
        <w:rPr>
          <w:rFonts w:hint="eastAsia" w:ascii="仿宋" w:hAnsi="仿宋" w:eastAsia="仿宋"/>
          <w:bCs/>
          <w:color w:val="000000"/>
          <w:sz w:val="32"/>
          <w:szCs w:val="32"/>
        </w:rPr>
        <w:t>部刺激感、寒战、恶心和呕吐，严重的</w:t>
      </w:r>
      <w:r>
        <w:rPr>
          <w:rFonts w:ascii="仿宋" w:hAnsi="仿宋" w:eastAsia="仿宋"/>
          <w:bCs/>
          <w:color w:val="000000"/>
          <w:sz w:val="32"/>
          <w:szCs w:val="32"/>
        </w:rPr>
        <w:t>IRR表现为支气管痉挛，呼吸困难，喉头水肿，肺水肿和高血压。注射达雷</w:t>
      </w:r>
      <w:r>
        <w:rPr>
          <w:rFonts w:hint="eastAsia" w:ascii="仿宋" w:hAnsi="仿宋" w:eastAsia="仿宋"/>
          <w:bCs/>
          <w:color w:val="000000"/>
          <w:sz w:val="32"/>
          <w:szCs w:val="32"/>
        </w:rPr>
        <w:t>妥尤单抗时应严格遵守规定的输注速率以降低输注相关反应的发生风险。对于任何等级</w:t>
      </w:r>
      <w:r>
        <w:rPr>
          <w:rFonts w:ascii="仿宋" w:hAnsi="仿宋" w:eastAsia="仿宋"/>
          <w:bCs/>
          <w:color w:val="000000"/>
          <w:sz w:val="32"/>
          <w:szCs w:val="32"/>
        </w:rPr>
        <w:t>/严重程度的IRR，应立即中断本品输注并对症治疗。达雷</w:t>
      </w:r>
      <w:r>
        <w:rPr>
          <w:rFonts w:hint="eastAsia" w:ascii="仿宋" w:hAnsi="仿宋" w:eastAsia="仿宋"/>
          <w:bCs/>
          <w:color w:val="000000"/>
          <w:sz w:val="32"/>
          <w:szCs w:val="32"/>
        </w:rPr>
        <w:t>妥尤单抗</w:t>
      </w:r>
      <w:r>
        <w:rPr>
          <w:rFonts w:ascii="仿宋" w:hAnsi="仿宋" w:eastAsia="仿宋"/>
          <w:bCs/>
          <w:color w:val="000000"/>
          <w:sz w:val="32"/>
          <w:szCs w:val="32"/>
        </w:rPr>
        <w:t>IRR主要发生在首次输注后约为46%。发生IRR的中位时间为1.5小时，由于反应引起的输注中断发生率为35％。输液中断后达雷</w:t>
      </w:r>
      <w:r>
        <w:rPr>
          <w:rFonts w:hint="eastAsia" w:ascii="仿宋" w:hAnsi="仿宋" w:eastAsia="仿宋"/>
          <w:bCs/>
          <w:color w:val="000000"/>
          <w:sz w:val="32"/>
          <w:szCs w:val="32"/>
        </w:rPr>
        <w:t>妥尤单抗可在室温下保存</w:t>
      </w:r>
      <w:r>
        <w:rPr>
          <w:rFonts w:ascii="仿宋" w:hAnsi="仿宋" w:eastAsia="仿宋"/>
          <w:bCs/>
          <w:color w:val="000000"/>
          <w:sz w:val="32"/>
          <w:szCs w:val="32"/>
        </w:rPr>
        <w:t>15小时（包括输注时间）。发生1</w:t>
      </w:r>
      <w:r>
        <w:rPr>
          <w:rFonts w:hint="eastAsia" w:ascii="仿宋" w:hAnsi="仿宋" w:eastAsia="仿宋"/>
          <w:bCs/>
          <w:color w:val="000000"/>
          <w:sz w:val="32"/>
          <w:szCs w:val="32"/>
        </w:rPr>
        <w:t>～</w:t>
      </w:r>
      <w:r>
        <w:rPr>
          <w:rFonts w:ascii="仿宋" w:hAnsi="仿宋" w:eastAsia="仿宋"/>
          <w:bCs/>
          <w:color w:val="000000"/>
          <w:sz w:val="32"/>
          <w:szCs w:val="32"/>
        </w:rPr>
        <w:t>2级（轻度至中度）输</w:t>
      </w:r>
      <w:r>
        <w:rPr>
          <w:rFonts w:hint="eastAsia" w:ascii="仿宋" w:hAnsi="仿宋" w:eastAsia="仿宋"/>
          <w:bCs/>
          <w:color w:val="000000"/>
          <w:sz w:val="32"/>
          <w:szCs w:val="32"/>
        </w:rPr>
        <w:t>注相关反应的症状消退后，可以考虑重新开始输注，但是速率不得大于发生</w:t>
      </w:r>
      <w:r>
        <w:rPr>
          <w:rFonts w:ascii="仿宋" w:hAnsi="仿宋" w:eastAsia="仿宋"/>
          <w:bCs/>
          <w:color w:val="000000"/>
          <w:sz w:val="32"/>
          <w:szCs w:val="32"/>
        </w:rPr>
        <w:t xml:space="preserve">IRR </w:t>
      </w:r>
      <w:r>
        <w:rPr>
          <w:rFonts w:hint="eastAsia" w:ascii="仿宋" w:hAnsi="仿宋" w:eastAsia="仿宋"/>
          <w:bCs/>
          <w:color w:val="000000"/>
          <w:sz w:val="32"/>
          <w:szCs w:val="32"/>
        </w:rPr>
        <w:t>时输注速率的一半。如果患者未发生任何进一步的</w:t>
      </w:r>
      <w:r>
        <w:rPr>
          <w:rFonts w:ascii="仿宋" w:hAnsi="仿宋" w:eastAsia="仿宋"/>
          <w:bCs/>
          <w:color w:val="000000"/>
          <w:sz w:val="32"/>
          <w:szCs w:val="32"/>
        </w:rPr>
        <w:t xml:space="preserve">IRR </w:t>
      </w:r>
      <w:r>
        <w:rPr>
          <w:rFonts w:hint="eastAsia" w:ascii="仿宋" w:hAnsi="仿宋" w:eastAsia="仿宋"/>
          <w:bCs/>
          <w:color w:val="000000"/>
          <w:sz w:val="32"/>
          <w:szCs w:val="32"/>
        </w:rPr>
        <w:t>症状，可以继续递增输注速率，增量和间隔视临床情况而定，直至最大速率</w:t>
      </w:r>
      <w:r>
        <w:rPr>
          <w:rFonts w:ascii="仿宋" w:hAnsi="仿宋" w:eastAsia="仿宋"/>
          <w:bCs/>
          <w:color w:val="000000"/>
          <w:sz w:val="32"/>
          <w:szCs w:val="32"/>
        </w:rPr>
        <w:t xml:space="preserve"> 200ml/小时。发生3级（重度）输</w:t>
      </w:r>
      <w:r>
        <w:rPr>
          <w:rFonts w:hint="eastAsia" w:ascii="仿宋" w:hAnsi="仿宋" w:eastAsia="仿宋"/>
          <w:bCs/>
          <w:color w:val="000000"/>
          <w:sz w:val="32"/>
          <w:szCs w:val="32"/>
        </w:rPr>
        <w:t>注相关反应的症状消退后，可以考虑重新开始输注，但是速率不得大于发生</w:t>
      </w:r>
      <w:r>
        <w:rPr>
          <w:rFonts w:ascii="仿宋" w:hAnsi="仿宋" w:eastAsia="仿宋"/>
          <w:bCs/>
          <w:color w:val="000000"/>
          <w:sz w:val="32"/>
          <w:szCs w:val="32"/>
        </w:rPr>
        <w:t xml:space="preserve">IRR </w:t>
      </w:r>
      <w:r>
        <w:rPr>
          <w:rFonts w:hint="eastAsia" w:ascii="仿宋" w:hAnsi="仿宋" w:eastAsia="仿宋"/>
          <w:bCs/>
          <w:color w:val="000000"/>
          <w:sz w:val="32"/>
          <w:szCs w:val="32"/>
        </w:rPr>
        <w:t>时输注速率的一半。如果患者没有出现其他症状，可以重新开始递增输注速率，增量和间隔视临床情况而定。如果再次发生</w:t>
      </w:r>
      <w:r>
        <w:rPr>
          <w:rFonts w:ascii="仿宋" w:hAnsi="仿宋" w:eastAsia="仿宋"/>
          <w:bCs/>
          <w:color w:val="000000"/>
          <w:sz w:val="32"/>
          <w:szCs w:val="32"/>
        </w:rPr>
        <w:t>3级症状，应重复上述步骤。第三次发生≥3级输</w:t>
      </w:r>
      <w:r>
        <w:rPr>
          <w:rFonts w:hint="eastAsia" w:ascii="仿宋" w:hAnsi="仿宋" w:eastAsia="仿宋"/>
          <w:bCs/>
          <w:color w:val="000000"/>
          <w:sz w:val="32"/>
          <w:szCs w:val="32"/>
        </w:rPr>
        <w:t>注相关反应时，应永久终止本品治疗。发生</w:t>
      </w:r>
      <w:r>
        <w:rPr>
          <w:rFonts w:ascii="仿宋" w:hAnsi="仿宋" w:eastAsia="仿宋"/>
          <w:bCs/>
          <w:color w:val="000000"/>
          <w:sz w:val="32"/>
          <w:szCs w:val="32"/>
        </w:rPr>
        <w:t>4级（危及生命）IRR，应永久终止本品治疗。每次输注本品前1</w:t>
      </w:r>
      <w:r>
        <w:rPr>
          <w:rFonts w:hint="eastAsia" w:ascii="仿宋" w:hAnsi="仿宋" w:eastAsia="仿宋"/>
          <w:bCs/>
          <w:color w:val="000000"/>
          <w:sz w:val="32"/>
          <w:szCs w:val="32"/>
        </w:rPr>
        <w:t>～</w:t>
      </w:r>
      <w:r>
        <w:rPr>
          <w:rFonts w:ascii="仿宋" w:hAnsi="仿宋" w:eastAsia="仿宋"/>
          <w:bCs/>
          <w:color w:val="000000"/>
          <w:sz w:val="32"/>
          <w:szCs w:val="32"/>
        </w:rPr>
        <w:t>3小时给予所有患者以下输注前用药，可以降低IRR风险：</w:t>
      </w:r>
      <w:r>
        <w:rPr>
          <w:rFonts w:hint="eastAsia" w:ascii="仿宋" w:hAnsi="仿宋" w:eastAsia="仿宋"/>
          <w:bCs/>
          <w:color w:val="000000"/>
          <w:sz w:val="32"/>
          <w:szCs w:val="32"/>
        </w:rPr>
        <w:t>（</w:t>
      </w:r>
      <w:r>
        <w:rPr>
          <w:rFonts w:ascii="仿宋" w:hAnsi="仿宋" w:eastAsia="仿宋"/>
          <w:bCs/>
          <w:color w:val="000000"/>
          <w:sz w:val="32"/>
          <w:szCs w:val="32"/>
        </w:rPr>
        <w:t>1）</w:t>
      </w:r>
      <w:r>
        <w:rPr>
          <w:rFonts w:hint="eastAsia" w:ascii="仿宋" w:hAnsi="仿宋" w:eastAsia="仿宋"/>
          <w:bCs/>
          <w:color w:val="000000"/>
          <w:sz w:val="32"/>
          <w:szCs w:val="32"/>
        </w:rPr>
        <w:t>糖皮质激素（长效或中效）：静脉输注</w:t>
      </w:r>
      <w:r>
        <w:rPr>
          <w:rFonts w:ascii="仿宋" w:hAnsi="仿宋" w:eastAsia="仿宋"/>
          <w:bCs/>
          <w:color w:val="000000"/>
          <w:sz w:val="32"/>
          <w:szCs w:val="32"/>
        </w:rPr>
        <w:t>100 mg甲泼尼龙或等效药物。在第二次输注后，可以减少糖皮质激素剂量（口服或静脉内给予甲泼尼龙60mg）。</w:t>
      </w:r>
      <w:r>
        <w:rPr>
          <w:rFonts w:hint="eastAsia" w:ascii="仿宋" w:hAnsi="仿宋" w:eastAsia="仿宋"/>
          <w:bCs/>
          <w:color w:val="000000"/>
          <w:sz w:val="32"/>
          <w:szCs w:val="32"/>
        </w:rPr>
        <w:t>（</w:t>
      </w:r>
      <w:r>
        <w:rPr>
          <w:rFonts w:ascii="仿宋" w:hAnsi="仿宋" w:eastAsia="仿宋"/>
          <w:bCs/>
          <w:color w:val="000000"/>
          <w:sz w:val="32"/>
          <w:szCs w:val="32"/>
        </w:rPr>
        <w:t>2）退热剂（口服对乙酰氨基</w:t>
      </w:r>
      <w:r>
        <w:rPr>
          <w:rFonts w:hint="eastAsia" w:ascii="仿宋" w:hAnsi="仿宋" w:eastAsia="仿宋"/>
          <w:bCs/>
          <w:color w:val="000000"/>
          <w:sz w:val="32"/>
          <w:szCs w:val="32"/>
        </w:rPr>
        <w:t>酚</w:t>
      </w:r>
      <w:r>
        <w:rPr>
          <w:rFonts w:ascii="仿宋" w:hAnsi="仿宋" w:eastAsia="仿宋"/>
          <w:bCs/>
          <w:color w:val="000000"/>
          <w:sz w:val="32"/>
          <w:szCs w:val="32"/>
        </w:rPr>
        <w:t>650</w:t>
      </w:r>
      <w:r>
        <w:rPr>
          <w:rFonts w:hint="eastAsia" w:ascii="仿宋" w:hAnsi="仿宋" w:eastAsia="仿宋"/>
          <w:bCs/>
          <w:color w:val="000000"/>
          <w:sz w:val="32"/>
          <w:szCs w:val="32"/>
        </w:rPr>
        <w:t>～</w:t>
      </w:r>
      <w:r>
        <w:rPr>
          <w:rFonts w:ascii="仿宋" w:hAnsi="仿宋" w:eastAsia="仿宋"/>
          <w:bCs/>
          <w:color w:val="000000"/>
          <w:sz w:val="32"/>
          <w:szCs w:val="32"/>
        </w:rPr>
        <w:t>1000mg）。</w:t>
      </w:r>
      <w:r>
        <w:rPr>
          <w:rFonts w:hint="eastAsia" w:ascii="仿宋" w:hAnsi="仿宋" w:eastAsia="仿宋"/>
          <w:bCs/>
          <w:color w:val="000000"/>
          <w:sz w:val="32"/>
          <w:szCs w:val="32"/>
        </w:rPr>
        <w:t>（</w:t>
      </w:r>
      <w:r>
        <w:rPr>
          <w:rFonts w:ascii="仿宋" w:hAnsi="仿宋" w:eastAsia="仿宋"/>
          <w:bCs/>
          <w:color w:val="000000"/>
          <w:sz w:val="32"/>
          <w:szCs w:val="32"/>
        </w:rPr>
        <w:t>3）抗组胺药（口服或静脉内给予苯海拉明25</w:t>
      </w:r>
      <w:r>
        <w:rPr>
          <w:rFonts w:hint="eastAsia" w:ascii="仿宋" w:hAnsi="仿宋" w:eastAsia="仿宋"/>
          <w:bCs/>
          <w:color w:val="000000"/>
          <w:sz w:val="32"/>
          <w:szCs w:val="32"/>
        </w:rPr>
        <w:t>～</w:t>
      </w:r>
      <w:r>
        <w:rPr>
          <w:rFonts w:ascii="仿宋" w:hAnsi="仿宋" w:eastAsia="仿宋"/>
          <w:bCs/>
          <w:color w:val="000000"/>
          <w:sz w:val="32"/>
          <w:szCs w:val="32"/>
        </w:rPr>
        <w:t>50mg或等效药物）。</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2.迟发性输注相关反应：表现为延迟发热。可在每次输注本品后</w:t>
      </w:r>
      <w:r>
        <w:rPr>
          <w:rFonts w:ascii="仿宋" w:hAnsi="仿宋" w:eastAsia="仿宋"/>
          <w:bCs/>
          <w:color w:val="000000"/>
          <w:sz w:val="32"/>
          <w:szCs w:val="32"/>
        </w:rPr>
        <w:t>2天（从输注后次日开始）每天给予口服糖皮质激素（20mg甲泼尼龙或等效剂量的中效/长效糖皮质激素，视当地标准而定）降低迟发性输</w:t>
      </w:r>
      <w:r>
        <w:rPr>
          <w:rFonts w:hint="eastAsia" w:ascii="仿宋" w:hAnsi="仿宋" w:eastAsia="仿宋"/>
          <w:bCs/>
          <w:color w:val="000000"/>
          <w:sz w:val="32"/>
          <w:szCs w:val="32"/>
        </w:rPr>
        <w:t>注相关反应的风险。另外，对于患有慢性阻塞性肺疾病病史的患者，应考虑使用包括短效和长效支气管扩张剂以及吸入性糖皮质激素在内的输注后用药。在前四次输注之后，如果患者没有发生重大</w:t>
      </w:r>
      <w:r>
        <w:rPr>
          <w:rFonts w:ascii="仿宋" w:hAnsi="仿宋" w:eastAsia="仿宋"/>
          <w:bCs/>
          <w:color w:val="000000"/>
          <w:sz w:val="32"/>
          <w:szCs w:val="32"/>
        </w:rPr>
        <w:t>IRR，则可以由医师自行决定停用这些吸入性输注后药物。</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3.对血型判定的影响以及输血策略：达雷妥尤单抗可以与红细胞膜表面低水平表达的</w:t>
      </w:r>
      <w:r>
        <w:rPr>
          <w:rFonts w:ascii="仿宋" w:hAnsi="仿宋" w:eastAsia="仿宋"/>
          <w:bCs/>
          <w:color w:val="000000"/>
          <w:sz w:val="32"/>
          <w:szCs w:val="32"/>
        </w:rPr>
        <w:t>CD38抗原结合，造成交叉配血过程中的间接抗人球蛋白试验假阳性，干扰配血，这种假阳性可能持续到末次输注达雷</w:t>
      </w:r>
      <w:r>
        <w:rPr>
          <w:rFonts w:hint="eastAsia" w:ascii="仿宋" w:hAnsi="仿宋" w:eastAsia="仿宋"/>
          <w:bCs/>
          <w:color w:val="000000"/>
          <w:sz w:val="32"/>
          <w:szCs w:val="32"/>
        </w:rPr>
        <w:t>妥尤单抗后</w:t>
      </w:r>
      <w:r>
        <w:rPr>
          <w:rFonts w:ascii="仿宋" w:hAnsi="仿宋" w:eastAsia="仿宋"/>
          <w:bCs/>
          <w:color w:val="000000"/>
          <w:sz w:val="32"/>
          <w:szCs w:val="32"/>
        </w:rPr>
        <w:t>6个月。应在患者开始达雷</w:t>
      </w:r>
      <w:r>
        <w:rPr>
          <w:rFonts w:hint="eastAsia" w:ascii="仿宋" w:hAnsi="仿宋" w:eastAsia="仿宋"/>
          <w:bCs/>
          <w:color w:val="000000"/>
          <w:sz w:val="32"/>
          <w:szCs w:val="32"/>
        </w:rPr>
        <w:t>妥尤单抗治疗前完成血型判定并进行抗体筛查。在计划输血的情况下，应通知输血中心这一间接抗球蛋白试验的干扰因素。应用二硫苏糖醇（</w:t>
      </w:r>
      <w:r>
        <w:rPr>
          <w:rFonts w:ascii="仿宋" w:hAnsi="仿宋" w:eastAsia="仿宋"/>
          <w:bCs/>
          <w:color w:val="000000"/>
          <w:sz w:val="32"/>
          <w:szCs w:val="32"/>
        </w:rPr>
        <w:t>DTT</w:t>
      </w:r>
      <w:r>
        <w:rPr>
          <w:rFonts w:hint="eastAsia" w:ascii="仿宋" w:hAnsi="仿宋" w:eastAsia="仿宋"/>
          <w:bCs/>
          <w:color w:val="000000"/>
          <w:sz w:val="32"/>
          <w:szCs w:val="32"/>
        </w:rPr>
        <w:t>）</w:t>
      </w:r>
      <w:r>
        <w:rPr>
          <w:rFonts w:ascii="仿宋" w:hAnsi="仿宋" w:eastAsia="仿宋"/>
          <w:bCs/>
          <w:color w:val="000000"/>
          <w:sz w:val="32"/>
          <w:szCs w:val="32"/>
        </w:rPr>
        <w:t>处理待检患者红细胞是处理方法之一。红细胞基因分型不受达雷</w:t>
      </w:r>
      <w:r>
        <w:rPr>
          <w:rFonts w:hint="eastAsia" w:ascii="仿宋" w:hAnsi="仿宋" w:eastAsia="仿宋"/>
          <w:bCs/>
          <w:color w:val="000000"/>
          <w:sz w:val="32"/>
          <w:szCs w:val="32"/>
        </w:rPr>
        <w:t>妥尤单抗的影响，可以随时进行。</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4.达雷妥尤单抗有骨髓抑制，应用后需要注意血常规的监测。</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5.达雷妥尤单抗可能会引起带状疱疹感染风险增加，约</w:t>
      </w:r>
      <w:r>
        <w:rPr>
          <w:rFonts w:ascii="仿宋" w:hAnsi="仿宋" w:eastAsia="仿宋"/>
          <w:bCs/>
          <w:color w:val="000000"/>
          <w:sz w:val="32"/>
          <w:szCs w:val="32"/>
        </w:rPr>
        <w:t>3%的患者报告了带状疱疹再激活。无论单药使用还是与其他任意方案联用，都推荐使用抗病毒预防性治疗来预防带状疱疹病毒再激活。</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6.在伴有肝肾功能不全患者中不需要调整达雷妥尤单抗剂量。</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7.在接受本品治疗的患者中，有乙肝病毒再燃的风险。在使用达雷妥尤单抗治疗前应进行</w:t>
      </w:r>
      <w:r>
        <w:rPr>
          <w:rFonts w:ascii="仿宋" w:hAnsi="仿宋" w:eastAsia="仿宋"/>
          <w:bCs/>
          <w:color w:val="000000"/>
          <w:sz w:val="32"/>
          <w:szCs w:val="32"/>
        </w:rPr>
        <w:t>HBV筛查，HBV携带者应预防性使用抑制病毒复制的药物及监测病毒载量；在达雷</w:t>
      </w:r>
      <w:r>
        <w:rPr>
          <w:rFonts w:hint="eastAsia" w:ascii="仿宋" w:hAnsi="仿宋" w:eastAsia="仿宋"/>
          <w:bCs/>
          <w:color w:val="000000"/>
          <w:sz w:val="32"/>
          <w:szCs w:val="32"/>
        </w:rPr>
        <w:t>妥尤单抗治疗中，若出现</w:t>
      </w:r>
      <w:r>
        <w:rPr>
          <w:rFonts w:ascii="仿宋" w:hAnsi="仿宋" w:eastAsia="仿宋"/>
          <w:bCs/>
          <w:color w:val="000000"/>
          <w:sz w:val="32"/>
          <w:szCs w:val="32"/>
        </w:rPr>
        <w:t>HBV再激活的患者，应停止使用达雷</w:t>
      </w:r>
      <w:r>
        <w:rPr>
          <w:rFonts w:hint="eastAsia" w:ascii="仿宋" w:hAnsi="仿宋" w:eastAsia="仿宋"/>
          <w:bCs/>
          <w:color w:val="000000"/>
          <w:sz w:val="32"/>
          <w:szCs w:val="32"/>
        </w:rPr>
        <w:t>妥尤单抗及任何联合激素、化疗，并给予适当的治疗。对于</w:t>
      </w:r>
      <w:r>
        <w:rPr>
          <w:rFonts w:ascii="仿宋" w:hAnsi="仿宋" w:eastAsia="仿宋"/>
          <w:bCs/>
          <w:color w:val="000000"/>
          <w:sz w:val="32"/>
          <w:szCs w:val="32"/>
        </w:rPr>
        <w:t>HBV血清学检测结果呈阳性的患者，应在本品治疗期间以及治疗结束后至少6个月内监测 HBV再激活的临床和实验室指征。</w:t>
      </w:r>
    </w:p>
    <w:p>
      <w:pPr>
        <w:spacing w:line="360" w:lineRule="auto"/>
        <w:ind w:firstLine="640" w:firstLineChars="200"/>
        <w:rPr>
          <w:rFonts w:ascii="仿宋" w:hAnsi="仿宋" w:eastAsia="仿宋"/>
          <w:bCs/>
          <w:color w:val="000000"/>
          <w:sz w:val="32"/>
          <w:szCs w:val="32"/>
        </w:rPr>
      </w:pPr>
      <w:r>
        <w:rPr>
          <w:rFonts w:hint="eastAsia" w:ascii="仿宋" w:hAnsi="仿宋" w:eastAsia="仿宋"/>
          <w:bCs/>
          <w:color w:val="000000"/>
          <w:sz w:val="32"/>
          <w:szCs w:val="32"/>
        </w:rPr>
        <w:t>8.其他治疗：达雷妥尤单抗联合地塞米松及硼替佐米用于初诊的系统性轻链型淀粉样变中的</w:t>
      </w:r>
      <w:r>
        <w:rPr>
          <w:rFonts w:hint="eastAsia" w:ascii="仿宋" w:hAnsi="仿宋" w:eastAsia="仿宋"/>
          <w:color w:val="000000"/>
          <w:sz w:val="32"/>
          <w:szCs w:val="32"/>
        </w:rPr>
        <w:t>Ⅲ</w:t>
      </w:r>
      <w:r>
        <w:rPr>
          <w:rFonts w:ascii="仿宋" w:hAnsi="仿宋" w:eastAsia="仿宋"/>
          <w:bCs/>
          <w:color w:val="000000"/>
          <w:sz w:val="32"/>
          <w:szCs w:val="32"/>
        </w:rPr>
        <w:t>期临床试验在进行中，中期分析含达雷</w:t>
      </w:r>
      <w:r>
        <w:rPr>
          <w:rFonts w:hint="eastAsia" w:ascii="仿宋" w:hAnsi="仿宋" w:eastAsia="仿宋"/>
          <w:bCs/>
          <w:color w:val="000000"/>
          <w:sz w:val="32"/>
          <w:szCs w:val="32"/>
        </w:rPr>
        <w:t>妥尤单抗组较对照组血液学缓解率明显增加。</w:t>
      </w:r>
      <w:r>
        <w:rPr>
          <w:rFonts w:ascii="仿宋" w:hAnsi="仿宋" w:eastAsia="仿宋"/>
          <w:bCs/>
          <w:color w:val="000000"/>
          <w:sz w:val="32"/>
          <w:szCs w:val="32"/>
        </w:rPr>
        <w:t>达雷</w:t>
      </w:r>
      <w:r>
        <w:rPr>
          <w:rFonts w:hint="eastAsia" w:ascii="仿宋" w:hAnsi="仿宋" w:eastAsia="仿宋"/>
          <w:bCs/>
          <w:color w:val="000000"/>
          <w:sz w:val="32"/>
          <w:szCs w:val="32"/>
        </w:rPr>
        <w:t>妥尤单抗联合其他药物在</w:t>
      </w:r>
      <w:r>
        <w:rPr>
          <w:rFonts w:ascii="仿宋" w:hAnsi="仿宋" w:eastAsia="仿宋"/>
          <w:bCs/>
          <w:color w:val="000000"/>
          <w:sz w:val="32"/>
          <w:szCs w:val="32"/>
        </w:rPr>
        <w:t>NCCN指南已经获</w:t>
      </w:r>
      <w:r>
        <w:rPr>
          <w:rFonts w:hint="eastAsia" w:ascii="仿宋" w:hAnsi="仿宋" w:eastAsia="仿宋"/>
          <w:bCs/>
          <w:color w:val="000000"/>
          <w:sz w:val="32"/>
          <w:szCs w:val="32"/>
        </w:rPr>
        <w:t>批用于难治复发以及初治多发性骨髓瘤</w:t>
      </w:r>
      <w:r>
        <w:rPr>
          <w:rFonts w:ascii="仿宋" w:hAnsi="仿宋" w:eastAsia="仿宋"/>
          <w:bCs/>
          <w:color w:val="000000"/>
          <w:sz w:val="32"/>
          <w:szCs w:val="32"/>
        </w:rPr>
        <w:t>患者治疗，包括达雷</w:t>
      </w:r>
      <w:r>
        <w:rPr>
          <w:rFonts w:hint="eastAsia" w:ascii="仿宋" w:hAnsi="仿宋" w:eastAsia="仿宋"/>
          <w:bCs/>
          <w:color w:val="000000"/>
          <w:sz w:val="32"/>
          <w:szCs w:val="32"/>
        </w:rPr>
        <w:t>妥尤单抗联合来那度胺及地塞米松用于复发患者以及老年初治患者，达雷妥尤单抗联合硼替佐米及地塞米松用于难治复发患者，达雷妥尤单抗联合硼替佐米、美法仑及醋酸泼尼松用于老年初治患者，达雷妥尤单抗联合硼替佐米、沙利度胺及地塞米松用于年轻初治患者。</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十七、芦可替尼 R</w:t>
      </w:r>
      <w:r>
        <w:rPr>
          <w:rFonts w:ascii="黑体" w:hAnsi="黑体" w:eastAsia="黑体" w:cs="黑体"/>
          <w:sz w:val="32"/>
          <w:szCs w:val="32"/>
        </w:rPr>
        <w:t>uxolitinib</w:t>
      </w:r>
    </w:p>
    <w:p>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制剂与规格：</w:t>
      </w:r>
      <w:r>
        <w:rPr>
          <w:rFonts w:hint="eastAsia" w:ascii="仿宋" w:hAnsi="仿宋" w:eastAsia="仿宋" w:cs="仿宋"/>
          <w:sz w:val="32"/>
          <w:szCs w:val="32"/>
        </w:rPr>
        <w:t>片剂：</w:t>
      </w:r>
      <w:r>
        <w:rPr>
          <w:rFonts w:ascii="仿宋" w:hAnsi="仿宋" w:eastAsia="仿宋" w:cs="仿宋"/>
          <w:sz w:val="32"/>
          <w:szCs w:val="32"/>
        </w:rPr>
        <w:t xml:space="preserve">5mg </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适应证：</w:t>
      </w:r>
      <w:r>
        <w:rPr>
          <w:rFonts w:hint="eastAsia" w:ascii="仿宋" w:hAnsi="仿宋" w:eastAsia="仿宋" w:cs="仿宋"/>
          <w:sz w:val="32"/>
          <w:szCs w:val="32"/>
        </w:rPr>
        <w:t>用于中危或高危的原发性骨髓纤维化（</w:t>
      </w:r>
      <w:r>
        <w:rPr>
          <w:rFonts w:ascii="仿宋" w:hAnsi="仿宋" w:eastAsia="仿宋" w:cs="仿宋"/>
          <w:sz w:val="32"/>
          <w:szCs w:val="32"/>
        </w:rPr>
        <w:t>PMF</w:t>
      </w:r>
      <w:r>
        <w:rPr>
          <w:rFonts w:hint="eastAsia" w:ascii="仿宋" w:hAnsi="仿宋" w:eastAsia="仿宋" w:cs="仿宋"/>
          <w:sz w:val="32"/>
          <w:szCs w:val="32"/>
        </w:rPr>
        <w:t>）（亦称为慢性特发性骨髓纤维化）、真性红细胞增多症继发的骨髓纤维化（</w:t>
      </w:r>
      <w:r>
        <w:rPr>
          <w:rFonts w:ascii="仿宋" w:hAnsi="仿宋" w:eastAsia="仿宋" w:cs="仿宋"/>
          <w:sz w:val="32"/>
          <w:szCs w:val="32"/>
        </w:rPr>
        <w:t>PPV-MF</w:t>
      </w:r>
      <w:r>
        <w:rPr>
          <w:rFonts w:hint="eastAsia" w:ascii="仿宋" w:hAnsi="仿宋" w:eastAsia="仿宋" w:cs="仿宋"/>
          <w:sz w:val="32"/>
          <w:szCs w:val="32"/>
        </w:rPr>
        <w:t>）或原发性血小板增多症继发的骨髓纤维化（</w:t>
      </w:r>
      <w:r>
        <w:rPr>
          <w:rFonts w:ascii="仿宋" w:hAnsi="仿宋" w:eastAsia="仿宋" w:cs="仿宋"/>
          <w:sz w:val="32"/>
          <w:szCs w:val="32"/>
        </w:rPr>
        <w:t>PET-MF</w:t>
      </w:r>
      <w:r>
        <w:rPr>
          <w:rFonts w:hint="eastAsia" w:ascii="仿宋" w:hAnsi="仿宋" w:eastAsia="仿宋" w:cs="仿宋"/>
          <w:sz w:val="32"/>
          <w:szCs w:val="32"/>
        </w:rPr>
        <w:t>）的成年患者，治疗疾病相关脾肿大或疾病相关症状。</w:t>
      </w:r>
    </w:p>
    <w:p>
      <w:pPr>
        <w:spacing w:line="360" w:lineRule="auto"/>
        <w:ind w:firstLine="643" w:firstLineChars="200"/>
        <w:rPr>
          <w:rFonts w:ascii="仿宋" w:hAnsi="仿宋" w:eastAsia="仿宋" w:cs="Times New Roman"/>
          <w:sz w:val="32"/>
          <w:szCs w:val="32"/>
        </w:rPr>
      </w:pPr>
      <w:r>
        <w:rPr>
          <w:rFonts w:hint="eastAsia" w:ascii="仿宋" w:hAnsi="仿宋" w:eastAsia="仿宋" w:cs="仿宋"/>
          <w:b/>
          <w:bCs/>
          <w:sz w:val="32"/>
          <w:szCs w:val="32"/>
        </w:rPr>
        <w:t>合理用药要点</w:t>
      </w:r>
      <w:r>
        <w:rPr>
          <w:rFonts w:hint="eastAsia" w:ascii="仿宋" w:hAnsi="仿宋" w:eastAsia="仿宋" w:cs="仿宋"/>
          <w:sz w:val="32"/>
          <w:szCs w:val="32"/>
        </w:rPr>
        <w:t>：</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治疗剂量：按照血小板计数给予起始剂量。（</w:t>
      </w:r>
      <w:r>
        <w:rPr>
          <w:rFonts w:ascii="仿宋" w:hAnsi="仿宋" w:eastAsia="仿宋" w:cs="仿宋"/>
          <w:sz w:val="32"/>
          <w:szCs w:val="32"/>
        </w:rPr>
        <w:t>1</w:t>
      </w:r>
      <w:r>
        <w:rPr>
          <w:rFonts w:hint="eastAsia" w:ascii="仿宋" w:hAnsi="仿宋" w:eastAsia="仿宋" w:cs="仿宋"/>
          <w:sz w:val="32"/>
          <w:szCs w:val="32"/>
        </w:rPr>
        <w:t>）血小板计数在（</w:t>
      </w:r>
      <w:r>
        <w:rPr>
          <w:rFonts w:ascii="仿宋" w:hAnsi="仿宋" w:eastAsia="仿宋" w:cs="仿宋"/>
          <w:sz w:val="32"/>
          <w:szCs w:val="32"/>
        </w:rPr>
        <w:t>100</w:t>
      </w:r>
      <w:r>
        <w:rPr>
          <w:rFonts w:hint="eastAsia" w:ascii="仿宋" w:hAnsi="仿宋" w:eastAsia="仿宋" w:cs="仿宋"/>
          <w:sz w:val="32"/>
          <w:szCs w:val="32"/>
        </w:rPr>
        <w:t>.0～</w:t>
      </w:r>
      <w:r>
        <w:rPr>
          <w:rFonts w:ascii="仿宋" w:hAnsi="仿宋" w:eastAsia="仿宋" w:cs="仿宋"/>
          <w:sz w:val="32"/>
          <w:szCs w:val="32"/>
        </w:rPr>
        <w:t>200</w:t>
      </w:r>
      <w:r>
        <w:rPr>
          <w:rFonts w:hint="eastAsia" w:ascii="仿宋" w:hAnsi="仿宋" w:eastAsia="仿宋" w:cs="仿宋"/>
          <w:sz w:val="32"/>
          <w:szCs w:val="32"/>
        </w:rPr>
        <w:t>.0）</w:t>
      </w:r>
      <w:r>
        <w:rPr>
          <w:rFonts w:hint="eastAsia" w:ascii="仿宋" w:hAnsi="仿宋" w:eastAsia="仿宋"/>
          <w:color w:val="000000"/>
          <w:sz w:val="32"/>
          <w:szCs w:val="32"/>
        </w:rPr>
        <w:t>×</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s="仿宋"/>
          <w:sz w:val="32"/>
          <w:szCs w:val="32"/>
        </w:rPr>
        <w:t>，起始剂量为</w:t>
      </w:r>
      <w:r>
        <w:rPr>
          <w:rFonts w:ascii="仿宋" w:hAnsi="仿宋" w:eastAsia="仿宋" w:cs="仿宋"/>
          <w:sz w:val="32"/>
          <w:szCs w:val="32"/>
        </w:rPr>
        <w:t>15mg</w:t>
      </w:r>
      <w:r>
        <w:rPr>
          <w:rFonts w:hint="eastAsia" w:ascii="仿宋" w:hAnsi="仿宋" w:eastAsia="仿宋" w:cs="仿宋"/>
          <w:sz w:val="32"/>
          <w:szCs w:val="32"/>
        </w:rPr>
        <w:t>，每日两次。（</w:t>
      </w:r>
      <w:r>
        <w:rPr>
          <w:rFonts w:ascii="仿宋" w:hAnsi="仿宋" w:eastAsia="仿宋" w:cs="仿宋"/>
          <w:sz w:val="32"/>
          <w:szCs w:val="32"/>
        </w:rPr>
        <w:t>2</w:t>
      </w:r>
      <w:r>
        <w:rPr>
          <w:rFonts w:hint="eastAsia" w:ascii="仿宋" w:hAnsi="仿宋" w:eastAsia="仿宋" w:cs="仿宋"/>
          <w:sz w:val="32"/>
          <w:szCs w:val="32"/>
        </w:rPr>
        <w:t>）血小板计数＞</w:t>
      </w:r>
      <w:r>
        <w:rPr>
          <w:rFonts w:ascii="仿宋" w:hAnsi="仿宋" w:eastAsia="仿宋" w:cs="仿宋"/>
          <w:sz w:val="32"/>
          <w:szCs w:val="32"/>
        </w:rPr>
        <w:t>200</w:t>
      </w:r>
      <w:r>
        <w:rPr>
          <w:rFonts w:hint="eastAsia" w:ascii="仿宋" w:hAnsi="仿宋" w:eastAsia="仿宋" w:cs="仿宋"/>
          <w:sz w:val="32"/>
          <w:szCs w:val="32"/>
        </w:rPr>
        <w:t>.0</w:t>
      </w:r>
      <w:r>
        <w:rPr>
          <w:rFonts w:hint="eastAsia" w:ascii="仿宋" w:hAnsi="仿宋" w:eastAsia="仿宋"/>
          <w:color w:val="000000"/>
          <w:sz w:val="32"/>
          <w:szCs w:val="32"/>
        </w:rPr>
        <w:t>×</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s="仿宋"/>
          <w:sz w:val="32"/>
          <w:szCs w:val="32"/>
        </w:rPr>
        <w:t>，起始剂量为</w:t>
      </w:r>
      <w:r>
        <w:rPr>
          <w:rFonts w:ascii="仿宋" w:hAnsi="仿宋" w:eastAsia="仿宋" w:cs="仿宋"/>
          <w:sz w:val="32"/>
          <w:szCs w:val="32"/>
        </w:rPr>
        <w:t>20mg</w:t>
      </w:r>
      <w:r>
        <w:rPr>
          <w:rFonts w:hint="eastAsia" w:ascii="仿宋" w:hAnsi="仿宋" w:eastAsia="仿宋" w:cs="仿宋"/>
          <w:sz w:val="32"/>
          <w:szCs w:val="32"/>
        </w:rPr>
        <w:t>，每日两次。（</w:t>
      </w:r>
      <w:r>
        <w:rPr>
          <w:rFonts w:ascii="仿宋" w:hAnsi="仿宋" w:eastAsia="仿宋" w:cs="仿宋"/>
          <w:sz w:val="32"/>
          <w:szCs w:val="32"/>
        </w:rPr>
        <w:t>3</w:t>
      </w:r>
      <w:r>
        <w:rPr>
          <w:rFonts w:hint="eastAsia" w:ascii="仿宋" w:hAnsi="仿宋" w:eastAsia="仿宋" w:cs="仿宋"/>
          <w:sz w:val="32"/>
          <w:szCs w:val="32"/>
        </w:rPr>
        <w:t>）血小板计数在（</w:t>
      </w:r>
      <w:r>
        <w:rPr>
          <w:rFonts w:ascii="仿宋" w:hAnsi="仿宋" w:eastAsia="仿宋" w:cs="仿宋"/>
          <w:sz w:val="32"/>
          <w:szCs w:val="32"/>
        </w:rPr>
        <w:t>50</w:t>
      </w:r>
      <w:r>
        <w:rPr>
          <w:rFonts w:hint="eastAsia" w:ascii="仿宋" w:hAnsi="仿宋" w:eastAsia="仿宋" w:cs="仿宋"/>
          <w:sz w:val="32"/>
          <w:szCs w:val="32"/>
        </w:rPr>
        <w:t>.0～</w:t>
      </w:r>
      <w:r>
        <w:rPr>
          <w:rFonts w:ascii="仿宋" w:hAnsi="仿宋" w:eastAsia="仿宋" w:cs="仿宋"/>
          <w:sz w:val="32"/>
          <w:szCs w:val="32"/>
        </w:rPr>
        <w:t>100</w:t>
      </w:r>
      <w:r>
        <w:rPr>
          <w:rFonts w:hint="eastAsia" w:ascii="仿宋" w:hAnsi="仿宋" w:eastAsia="仿宋" w:cs="仿宋"/>
          <w:sz w:val="32"/>
          <w:szCs w:val="32"/>
        </w:rPr>
        <w:t>.0）</w:t>
      </w:r>
      <w:r>
        <w:rPr>
          <w:rFonts w:hint="eastAsia" w:ascii="仿宋" w:hAnsi="仿宋" w:eastAsia="仿宋"/>
          <w:color w:val="000000"/>
          <w:sz w:val="32"/>
          <w:szCs w:val="32"/>
        </w:rPr>
        <w:t>×</w:t>
      </w:r>
      <w:r>
        <w:rPr>
          <w:rFonts w:ascii="仿宋" w:hAnsi="仿宋" w:eastAsia="仿宋"/>
          <w:color w:val="000000"/>
          <w:sz w:val="32"/>
          <w:szCs w:val="32"/>
        </w:rPr>
        <w:t>10</w:t>
      </w:r>
      <w:r>
        <w:rPr>
          <w:rFonts w:ascii="仿宋" w:hAnsi="仿宋" w:eastAsia="仿宋"/>
          <w:color w:val="000000"/>
          <w:sz w:val="32"/>
          <w:szCs w:val="32"/>
          <w:vertAlign w:val="superscript"/>
        </w:rPr>
        <w:t>9</w:t>
      </w:r>
      <w:r>
        <w:rPr>
          <w:rFonts w:ascii="仿宋" w:hAnsi="仿宋" w:eastAsia="仿宋"/>
          <w:color w:val="000000"/>
          <w:sz w:val="32"/>
          <w:szCs w:val="32"/>
        </w:rPr>
        <w:t>/L</w:t>
      </w:r>
      <w:r>
        <w:rPr>
          <w:rFonts w:hint="eastAsia" w:ascii="仿宋" w:hAnsi="仿宋" w:eastAsia="仿宋" w:cs="仿宋"/>
          <w:sz w:val="32"/>
          <w:szCs w:val="32"/>
        </w:rPr>
        <w:t>，起始剂量为</w:t>
      </w:r>
      <w:r>
        <w:rPr>
          <w:rFonts w:ascii="仿宋" w:hAnsi="仿宋" w:eastAsia="仿宋" w:cs="仿宋"/>
          <w:sz w:val="32"/>
          <w:szCs w:val="32"/>
        </w:rPr>
        <w:t>5mg</w:t>
      </w:r>
      <w:r>
        <w:rPr>
          <w:rFonts w:hint="eastAsia" w:ascii="仿宋" w:hAnsi="仿宋" w:eastAsia="仿宋" w:cs="仿宋"/>
          <w:sz w:val="32"/>
          <w:szCs w:val="32"/>
        </w:rPr>
        <w:t>，每日两次。</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本品可能造成血液系统不良反应，包括血小板减少、贫血和中性粒细胞减少。治疗前，必须进行全血细胞计数检查，之后每周监测一次，</w:t>
      </w:r>
      <w:r>
        <w:rPr>
          <w:rFonts w:ascii="仿宋" w:hAnsi="仿宋" w:eastAsia="仿宋" w:cs="仿宋"/>
          <w:sz w:val="32"/>
          <w:szCs w:val="32"/>
        </w:rPr>
        <w:t>4</w:t>
      </w:r>
      <w:r>
        <w:rPr>
          <w:rFonts w:hint="eastAsia" w:ascii="仿宋" w:hAnsi="仿宋" w:eastAsia="仿宋" w:cs="仿宋"/>
          <w:sz w:val="32"/>
          <w:szCs w:val="32"/>
        </w:rPr>
        <w:t>周后可每</w:t>
      </w: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周监测一次，直到达到稳定，然后可以根据临床需要进行监测。当出现血小板减少或贫血时，可减少剂量或暂时停止用药，必要时输注血小板或红细胞。</w:t>
      </w:r>
    </w:p>
    <w:p>
      <w:pPr>
        <w:spacing w:line="360" w:lineRule="auto"/>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中断或终止本品治疗后，骨髓纤维化的症状可能在大约一周后再次出现。若非必须紧急终止治疗，应可以考虑逐步减少本品的用药剂量。</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本品与强效</w:t>
      </w:r>
      <w:r>
        <w:rPr>
          <w:rFonts w:ascii="仿宋" w:hAnsi="仿宋" w:eastAsia="仿宋" w:cs="仿宋"/>
          <w:sz w:val="32"/>
          <w:szCs w:val="32"/>
        </w:rPr>
        <w:t>CYP3A4</w:t>
      </w:r>
      <w:r>
        <w:rPr>
          <w:rFonts w:hint="eastAsia" w:ascii="仿宋" w:hAnsi="仿宋" w:eastAsia="仿宋" w:cs="仿宋"/>
          <w:sz w:val="32"/>
          <w:szCs w:val="32"/>
        </w:rPr>
        <w:t>抑制剂或</w:t>
      </w:r>
      <w:r>
        <w:rPr>
          <w:rFonts w:ascii="仿宋" w:hAnsi="仿宋" w:eastAsia="仿宋" w:cs="仿宋"/>
          <w:sz w:val="32"/>
          <w:szCs w:val="32"/>
        </w:rPr>
        <w:t>CYP2C9</w:t>
      </w:r>
      <w:r>
        <w:rPr>
          <w:rFonts w:hint="eastAsia" w:ascii="仿宋" w:hAnsi="仿宋" w:eastAsia="仿宋" w:cs="仿宋"/>
          <w:sz w:val="32"/>
          <w:szCs w:val="32"/>
        </w:rPr>
        <w:t>和</w:t>
      </w:r>
      <w:r>
        <w:rPr>
          <w:rFonts w:ascii="仿宋" w:hAnsi="仿宋" w:eastAsia="仿宋" w:cs="仿宋"/>
          <w:sz w:val="32"/>
          <w:szCs w:val="32"/>
        </w:rPr>
        <w:t>CYP3A4</w:t>
      </w:r>
      <w:r>
        <w:rPr>
          <w:rFonts w:hint="eastAsia" w:ascii="仿宋" w:hAnsi="仿宋" w:eastAsia="仿宋" w:cs="仿宋"/>
          <w:sz w:val="32"/>
          <w:szCs w:val="32"/>
        </w:rPr>
        <w:t>酶双重抑制剂合并使用时，每日总剂量应减少约</w:t>
      </w:r>
      <w:r>
        <w:rPr>
          <w:rFonts w:ascii="仿宋" w:hAnsi="仿宋" w:eastAsia="仿宋" w:cs="仿宋"/>
          <w:sz w:val="32"/>
          <w:szCs w:val="32"/>
        </w:rPr>
        <w:t>50%</w:t>
      </w:r>
      <w:r>
        <w:rPr>
          <w:rFonts w:hint="eastAsia" w:ascii="仿宋" w:hAnsi="仿宋" w:eastAsia="仿宋" w:cs="仿宋"/>
          <w:sz w:val="32"/>
          <w:szCs w:val="32"/>
        </w:rPr>
        <w:t>。</w:t>
      </w:r>
    </w:p>
    <w:p>
      <w:pPr>
        <w:spacing w:line="360" w:lineRule="auto"/>
        <w:ind w:firstLine="883" w:firstLineChars="200"/>
        <w:jc w:val="center"/>
        <w:rPr>
          <w:rFonts w:hint="eastAsia" w:ascii="宋体" w:hAnsi="宋体" w:cs="宋体"/>
          <w:b/>
          <w:bCs/>
          <w:sz w:val="44"/>
          <w:szCs w:val="44"/>
        </w:rPr>
      </w:pPr>
    </w:p>
    <w:p>
      <w:pPr>
        <w:numPr>
          <w:ilvl w:val="0"/>
          <w:numId w:val="0"/>
        </w:numPr>
        <w:spacing w:line="360" w:lineRule="auto"/>
        <w:ind w:firstLine="560" w:firstLineChars="200"/>
        <w:jc w:val="both"/>
        <w:rPr>
          <w:rFonts w:hint="eastAsia" w:ascii="宋体" w:hAnsi="宋体" w:cs="宋体"/>
          <w:b w:val="0"/>
          <w:bCs w:val="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B7074"/>
    <w:rsid w:val="083B44E3"/>
    <w:rsid w:val="1530709F"/>
    <w:rsid w:val="20DC47A7"/>
    <w:rsid w:val="22412542"/>
    <w:rsid w:val="284507EE"/>
    <w:rsid w:val="2BE25F5D"/>
    <w:rsid w:val="3402241D"/>
    <w:rsid w:val="37E54E94"/>
    <w:rsid w:val="3AC253A5"/>
    <w:rsid w:val="40237BEF"/>
    <w:rsid w:val="4272269A"/>
    <w:rsid w:val="464742E4"/>
    <w:rsid w:val="56C257D3"/>
    <w:rsid w:val="5CE26E45"/>
    <w:rsid w:val="6C9057E8"/>
    <w:rsid w:val="6E1E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2021-01-11T00:48:00Z</dcterms:created>
  <dc:creator>李先洋</dc:creator>
  <cp:lastModifiedBy>Alexandra1391421310</cp:lastModifiedBy>
  <dcterms:modified xsi:type="dcterms:W3CDTF">2021-01-19T03:31:20Z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