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cs="Times New Roman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>新型抗肿瘤药物临床应用指导原则</w:t>
      </w:r>
    </w:p>
    <w:p>
      <w:pPr>
        <w:spacing w:line="360" w:lineRule="auto"/>
        <w:jc w:val="center"/>
        <w:rPr>
          <w:rFonts w:hint="eastAsia" w:ascii="宋体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8"/>
          <w:szCs w:val="48"/>
        </w:rPr>
        <w:t>（</w:t>
      </w:r>
      <w:r>
        <w:rPr>
          <w:rFonts w:ascii="宋体" w:hAnsi="宋体" w:cs="宋体"/>
          <w:b/>
          <w:bCs/>
          <w:sz w:val="48"/>
          <w:szCs w:val="48"/>
        </w:rPr>
        <w:t>20</w:t>
      </w:r>
      <w:r>
        <w:rPr>
          <w:rFonts w:hint="eastAsia" w:ascii="宋体" w:hAnsi="宋体" w:cs="宋体"/>
          <w:b/>
          <w:bCs/>
          <w:sz w:val="48"/>
          <w:szCs w:val="48"/>
        </w:rPr>
        <w:t>20年版）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之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乳腺癌</w:t>
      </w:r>
      <w:r>
        <w:rPr>
          <w:rFonts w:hint="eastAsia" w:ascii="宋体" w:hAnsi="宋体" w:cs="宋体"/>
          <w:b/>
          <w:bCs/>
          <w:sz w:val="44"/>
          <w:szCs w:val="44"/>
        </w:rPr>
        <w:t>用药</w:t>
      </w:r>
      <w:r>
        <w:rPr>
          <w:rFonts w:hint="eastAsia" w:ascii="宋体" w:eastAsia="宋体" w:cs="Times New Roman"/>
          <w:b/>
          <w:bCs/>
          <w:sz w:val="44"/>
          <w:szCs w:val="44"/>
          <w:lang w:eastAsia="zh-CN"/>
        </w:rPr>
        <w:drawing>
          <wp:inline distT="0" distB="0" distL="114300" distR="114300">
            <wp:extent cx="5274310" cy="2196465"/>
            <wp:effectExtent l="0" t="0" r="13970" b="13335"/>
            <wp:docPr id="1" name="图片 1" descr="ab6174871db67cb1c1852027ec8b8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6174871db67cb1c1852027ec8b81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新型抗肿瘤药物临床应用指导原则（2020年版）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第一部分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基本原则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指出关键性两点原则：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只有经组织或细胞学病理确诊、或特殊分子病理诊断成立的恶性肿瘤，才有指征使用抗肿瘤药物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对于有明确靶点的药物，须遵循靶点检测后方可使用的原则。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检测所用的仪器设备、诊断试剂和检测方法应当经过国家药品监督管理部门批准，特别是经过伴随诊断验证的方法。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在第二部分各系统肿瘤的药物临床应用指导原则乳腺癌中要求：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曲妥珠单抗 Trastuzumab：在接受曲妥珠单抗治疗前，应在有资质的病理实验室进行HER2检测，HER2阳性患者方可应用曲妥珠单抗治疗，HER2阳性的定义为IHC3+和/或FISH阳性。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恩美曲妥珠单抗Trastuzumab Emtansine：恩美曲妥珠单抗（T-DM1）与曲妥珠单抗为不同药物，禁止在临床应用中进行替换。接受T-DM1辅助治疗的患者应符合以下要求：（1）应在有资质的病理实验室通过HER2检测确认为HER2阳性（HER2阳性的定义为IHC3+和/或FISH阳性）；（2）完成以曲妥珠单抗（H）和紫杉类为基础的新辅助治疗方案；（3）新辅助治疗后的病理评估结果未能达到病理学完全缓解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帕妥珠单抗 Pertuzumab：</w:t>
      </w:r>
      <w:r>
        <w:rPr>
          <w:rFonts w:hint="eastAsia" w:ascii="宋体" w:hAnsi="宋体" w:cs="宋体"/>
          <w:b w:val="0"/>
          <w:bCs w:val="0"/>
          <w:color w:val="FF0000"/>
          <w:sz w:val="28"/>
          <w:szCs w:val="28"/>
          <w:lang w:val="en-US" w:eastAsia="zh-CN"/>
        </w:rPr>
        <w:t>乳腺癌辅助治疗：本品与曲妥珠单抗和化疗联合，用于高复发风险的HER2阳性早期乳腺癌患者的辅助治疗。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帕妥珠单抗与曲妥珠单抗联合，还可与辅助内分泌治疗同时使用；乳腺癌新辅助治疗：本品与曲妥珠单抗和化疗联合，用于HER2阳性、局部晚期、炎性或早期乳腺癌患者（肿瘤直径＞2cm或淋巴结阳性）的新辅助治疗；复发转移性乳腺癌治疗：本品与曲妥珠单抗和紫杉类化疗药联合用于HER2阳性、转移性或不可切除的局部复发性乳腺癌患者。患者既往针对转移性疾病应未接受过抗HER2治疗，或既往辅助治疗阶段接受过抗HER2治疗，停止抗HER2治疗后一年以上复发转移的患者。接受帕妥珠单抗治疗的患者病灶组织标本，应在有资质的病理实验室进行HER2检测，HER2阳性患者方可应用，HER2阳性的定义为IHC3+和/或FISH阳性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伊尼妥单抗Inetetamab适用于HER2阳性，与长春瑞滨联合治疗已接受过1个或多个化疗方案的转移性乳腺癌患者，在接受伊尼妥单抗治疗前，应在有资质的病理实验室进行 HER2 检测，HER2 阳性患者方可应用伊尼妥单抗治疗。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拉帕替尼 Lapatinib与卡培他滨联用，适用于HER2过表达且既往接受过包括蒽环类、紫杉类和曲妥珠单抗治疗的晚期或者转移性乳腺癌患者的治疗。考虑使用本药的患者需进行组织标本（原发灶或转移灶）的HER2检测，无论是原发灶还是转移灶，HER2阳性患者方可应用，HER2阳性的定义为IHC3+和/或FISH阳性。仅适用于复发转移患者，原则上不推荐一线使用，除非是患者有曲妥珠单抗的禁忌证或参加新药临床试验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吡咯替尼Pyrotinib联合卡培他滨，适用于治疗HER2阳性、既往未接受或接受过曲妥珠单抗的复发或转移性乳腺癌患者。使用吡咯替尼前患者应接受过蒽环类或紫杉类化疗。在使用吡咯替尼治疗前，应使用经充分验证的检测方法进行HER2状态的检测。吡咯替尼仅可用于HER2阳性的乳腺癌患者。适用于HER2阳性复发或转移性乳腺癌患者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奈拉替尼Neratinib适用于HER2阳性的早期乳腺癌成年患者，在接受含曲妥珠单抗辅助治疗之后的强化辅助治疗。考虑使用本药的患者需进行HER2检测，HER2 阳性患者方可应用奈拉替尼进行治疗。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哌柏西利 Palbociclib适用于激素受体（HR）阳性、HER2阴性的局部晚期或转移性乳腺癌，在接受哌柏西利治疗前，应在有资质的病理实验室进行检测证实HR阳性、HER2阴性患者方可使用。HR阳性的定义为雌激素受体免疫组化染色显示超过1%的肿瘤细胞核染色阳性。HER2阴性的定义为IHC 0-1+或FISH阴性。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西达本胺Chidamide联合芳香化酶抑制剂用于HR阳性、HER2阴性、绝经后、经内分泌治疗复发或进展的局部晚期或转移性乳腺癌患者，在接受西达本胺治疗前，经病理学证实HR阳性、HER2阴性患者方可使用。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2018年6月19日，美国病理学家协会(CAP, College of American Pathologists)发布2018版《CAP临床实践指南：乳腺癌HER2检测》，针对旧版指南进行了更新，将HER2检测结果分为五组，取消了HER2结果不确定情况。第一组和第五组结果明确，不需要结合免疫组织化学结果判读，第二组、第三组和第四组需要结合免疫组织化学结果综合判断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72405" cy="2244725"/>
            <wp:effectExtent l="0" t="0" r="635" b="10795"/>
            <wp:docPr id="2" name="图片 2" descr="0817cef02c24175caf5a6b2602bb11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17cef02c24175caf5a6b2602bb11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2019年3月，中国版乳腺癌HER2检测指南（2019版）正式在中华病理学杂志发布，HER2检测结果分为五组，取消了HER2结果不确定情况。第一组、第二组、第三组和第五组结果明确，不需要结合免疫组织化学结果判读，但均建议第二组、第三组需要增加计数细胞并在病理报告中添加备注，第四组需要结合免疫组织化学结果综合判断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230" cy="1475740"/>
            <wp:effectExtent l="0" t="0" r="3810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sz w:val="28"/>
          <w:szCs w:val="28"/>
          <w:lang w:val="en-US" w:eastAsia="zh-CN"/>
        </w:rPr>
        <w:t>乳腺癌HER2检测指南（2019版）原文指出：正确检测和评定乳腺癌的 HER2 蛋白表达和 基因扩增状态对乳腺癌的临床治疗及预后判断至关重要。推荐采用免疫组织化学（immunohistochemistry，IHC）法检测HER2蛋白的表达水平，应用原位杂交（in situ hybridization）法检测 HER2 基因扩增水平。上述检测方法各有优缺点，本指南推荐 IHC 与原位杂交相结合的检测策略。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DF05F6"/>
    <w:multiLevelType w:val="singleLevel"/>
    <w:tmpl w:val="F7DF05F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AD9F324"/>
    <w:multiLevelType w:val="singleLevel"/>
    <w:tmpl w:val="6AD9F3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567A8"/>
    <w:rsid w:val="0655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2021-01-28T02:40:00Z</dcterms:created>
  <dc:creator>Alexandra1391421310</dc:creator>
  <cp:lastModifiedBy>Alexandra1391421310</cp:lastModifiedBy>
  <dcterms:modified xsi:type="dcterms:W3CDTF">2021-01-28T02:41:53Z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